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FFB" w:rsidP="00A02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CPCCBC5009 Identify services layout and connection methods for Type B and C constructions</w:t>
      </w:r>
      <w:r>
        <w:fldChar w:fldCharType="end"/>
      </w:r>
    </w:p>
    <w:p w:rsidR="00A02FFB" w:rsidP="00A02FFB">
      <w:pPr>
        <w:pStyle w:val="Version"/>
        <w:sectPr w:rsidSect="00B76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6C62" w:rsidP="00B76C62">
      <w:pPr>
        <w:pStyle w:val="SuperHeading"/>
      </w:pPr>
      <w:r w:rsidRPr="00B76C62">
        <w:t>Assessment Requirements for CPCCBC5009 Identify services layout and connection methods for Type B and C constructions</w:t>
      </w:r>
    </w:p>
    <w:p w:rsidR="00000000" w:rsidRPr="00B76C62" w:rsidP="00B76C62">
      <w:pPr>
        <w:pStyle w:val="Heading1"/>
      </w:pPr>
      <w:bookmarkStart w:id="1" w:name="O_1293384"/>
      <w:bookmarkEnd w:id="1"/>
      <w:r w:rsidRPr="00B76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62">
            <w:pPr>
              <w:pStyle w:val="BodyText"/>
              <w:rPr>
                <w:lang w:val="en-NZ"/>
              </w:rPr>
            </w:pPr>
            <w:r w:rsidRPr="00B76C6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62">
            <w:pPr>
              <w:pStyle w:val="BodyText"/>
              <w:rPr>
                <w:lang w:val="en-NZ"/>
              </w:rPr>
            </w:pPr>
            <w:r w:rsidRPr="00B76C62">
              <w:t>Updated reference to general construction induction training program.</w:t>
            </w:r>
          </w:p>
        </w:tc>
      </w:tr>
      <w:tr w:rsidTr="00B7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C62">
            <w:pPr>
              <w:pStyle w:val="BodyText"/>
              <w:rPr>
                <w:lang w:val="en-NZ"/>
              </w:rPr>
            </w:pPr>
            <w:r w:rsidRPr="00B76C6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C62" w:rsidP="00B76C62">
            <w:pPr>
              <w:pStyle w:val="BodyText"/>
            </w:pPr>
            <w:r w:rsidRPr="00B76C62">
              <w:t>This version first released with CPC Construction, Plumbing and Services Training Package Release 5.0.</w:t>
            </w:r>
          </w:p>
          <w:p w:rsidR="00000000" w:rsidRPr="00B76C62" w:rsidP="00B76C62">
            <w:pPr>
              <w:pStyle w:val="BodyText"/>
            </w:pPr>
            <w:r w:rsidRPr="00B76C62">
              <w:t>Supersedes and is equivalent to CPCCBC5009A Identify services layout and connection methods to medium rise construction projects.  Change to title.  Upda</w:t>
            </w:r>
            <w:r w:rsidRPr="00B76C62">
              <w:t>ted to meet the Standards for Training Packages 2012.</w:t>
            </w:r>
          </w:p>
        </w:tc>
      </w:tr>
    </w:tbl>
    <w:p w:rsidR="00000000" w:rsidRPr="00B76C62" w:rsidP="00B76C62">
      <w:pPr>
        <w:pStyle w:val="BodyText"/>
      </w:pPr>
    </w:p>
    <w:p w:rsidR="00000000" w:rsidRPr="00B76C62" w:rsidP="00B76C62">
      <w:pPr>
        <w:pStyle w:val="AllowPageBreak"/>
      </w:pPr>
    </w:p>
    <w:p w:rsidR="00000000" w:rsidRPr="00B76C62" w:rsidP="00B76C62">
      <w:pPr>
        <w:pStyle w:val="Heading1"/>
      </w:pPr>
      <w:bookmarkStart w:id="2" w:name="O_1293383"/>
      <w:bookmarkEnd w:id="2"/>
      <w:r w:rsidRPr="00B76C62">
        <w:t>Performance Evidence</w:t>
      </w:r>
    </w:p>
    <w:p w:rsidR="00000000" w:rsidRPr="00B76C62" w:rsidP="00A02FFB">
      <w:pPr>
        <w:pStyle w:val="BodyText"/>
      </w:pPr>
      <w:r w:rsidRPr="00B76C62">
        <w:t>To demonstrate competency, a candidate must meet the elements and performance criteria of this unit by determining, documenting and conveying layout and connect</w:t>
      </w:r>
      <w:r w:rsidRPr="00B76C62">
        <w:t>ion methods to a range of services appropriate to Type B and C constructions, which may be undertaken over several projects and must include:</w:t>
      </w:r>
    </w:p>
    <w:p w:rsidR="00000000" w:rsidRPr="00B76C62" w:rsidP="00B76C62">
      <w:pPr>
        <w:pStyle w:val="ListBullet"/>
      </w:pPr>
      <w:r w:rsidRPr="00B76C62">
        <w:t>water supply</w:t>
      </w:r>
    </w:p>
    <w:p w:rsidR="00000000" w:rsidRPr="00B76C62" w:rsidP="00B76C62">
      <w:pPr>
        <w:pStyle w:val="ListBullet"/>
      </w:pPr>
      <w:r w:rsidRPr="00B76C62">
        <w:t>sewerage and drainage disposal</w:t>
      </w:r>
    </w:p>
    <w:p w:rsidR="00000000" w:rsidRPr="00B76C62" w:rsidP="00B76C62">
      <w:pPr>
        <w:pStyle w:val="ListBullet"/>
      </w:pPr>
      <w:r w:rsidRPr="00B76C62">
        <w:t>mechanical ventilation and air distribution</w:t>
      </w:r>
    </w:p>
    <w:p w:rsidR="00000000" w:rsidRPr="00B76C62" w:rsidP="00B76C62">
      <w:pPr>
        <w:pStyle w:val="ListBullet"/>
      </w:pPr>
      <w:r w:rsidRPr="00B76C62">
        <w:t>hot water systems</w:t>
      </w:r>
    </w:p>
    <w:p w:rsidR="00000000" w:rsidRPr="00B76C62" w:rsidP="00B76C62">
      <w:pPr>
        <w:pStyle w:val="ListBullet"/>
      </w:pPr>
      <w:r w:rsidRPr="00B76C62">
        <w:t>natural and artificial lighting</w:t>
      </w:r>
    </w:p>
    <w:p w:rsidR="00000000" w:rsidRPr="00B76C62" w:rsidP="00B76C62">
      <w:pPr>
        <w:pStyle w:val="ListBullet"/>
      </w:pPr>
      <w:r w:rsidRPr="00B76C62">
        <w:t>fire protection</w:t>
      </w:r>
    </w:p>
    <w:p w:rsidR="00000000" w:rsidRPr="00B76C62" w:rsidP="00B76C62">
      <w:pPr>
        <w:pStyle w:val="ListBullet"/>
      </w:pPr>
      <w:r w:rsidRPr="00B76C62">
        <w:t>electrical and electronic.</w:t>
      </w:r>
    </w:p>
    <w:p w:rsidR="00000000" w:rsidRPr="00B76C62" w:rsidP="00A02FFB">
      <w:pPr>
        <w:pStyle w:val="BodyText"/>
      </w:pPr>
      <w:r w:rsidRPr="00B76C62">
        <w:t>In doing this, the candidate must:</w:t>
      </w:r>
    </w:p>
    <w:p w:rsidR="00000000" w:rsidRPr="00B76C62" w:rsidP="00B76C62">
      <w:pPr>
        <w:pStyle w:val="ListBullet"/>
      </w:pPr>
      <w:r w:rsidRPr="00B76C62">
        <w:t>apply design concepts and principles relating to performance of service installations</w:t>
      </w:r>
    </w:p>
    <w:p w:rsidR="00000000" w:rsidRPr="00B76C62" w:rsidP="00B76C62">
      <w:pPr>
        <w:pStyle w:val="ListBullet"/>
      </w:pPr>
      <w:r w:rsidRPr="00B76C62">
        <w:t>identify typical faults and problems and take remedial acti</w:t>
      </w:r>
      <w:r w:rsidRPr="00B76C62">
        <w:t>on</w:t>
      </w:r>
    </w:p>
    <w:p w:rsidR="00000000" w:rsidRPr="00B76C62" w:rsidP="00B76C62">
      <w:pPr>
        <w:pStyle w:val="ListBullet"/>
      </w:pPr>
      <w:r w:rsidRPr="00B76C62">
        <w:t>comply with the National Construction Code (NCC) and Australian standards.</w:t>
      </w:r>
    </w:p>
    <w:p w:rsidR="00000000" w:rsidRPr="00B76C62" w:rsidP="00B76C62">
      <w:pPr>
        <w:pStyle w:val="AllowPageBreak"/>
      </w:pPr>
    </w:p>
    <w:p w:rsidR="00000000" w:rsidRPr="00B76C62" w:rsidP="00B76C62">
      <w:pPr>
        <w:pStyle w:val="Heading1"/>
      </w:pPr>
      <w:bookmarkStart w:id="3" w:name="O_1293382"/>
      <w:bookmarkEnd w:id="3"/>
      <w:r w:rsidRPr="00B76C62">
        <w:t>Knowledge Evidence</w:t>
      </w:r>
    </w:p>
    <w:p w:rsidR="00000000" w:rsidRPr="00B76C62" w:rsidP="00A02FFB">
      <w:pPr>
        <w:pStyle w:val="BodyText"/>
      </w:pPr>
      <w:r w:rsidRPr="00B76C62">
        <w:t>To be competent in this unit, a candidate must demonstrate knowledge of:</w:t>
      </w:r>
    </w:p>
    <w:p w:rsidR="00000000" w:rsidRPr="00B76C62" w:rsidP="00B76C62">
      <w:pPr>
        <w:pStyle w:val="ListBullet"/>
      </w:pPr>
      <w:r w:rsidRPr="00B76C62">
        <w:t>relevant government building legislation, codes and standards</w:t>
      </w:r>
    </w:p>
    <w:p w:rsidR="00000000" w:rsidRPr="00B76C62" w:rsidP="00B76C62">
      <w:pPr>
        <w:pStyle w:val="ListBullet"/>
      </w:pPr>
      <w:r w:rsidRPr="00B76C62">
        <w:t xml:space="preserve">the </w:t>
      </w:r>
      <w:r w:rsidRPr="00B76C62">
        <w:t>NCC</w:t>
      </w:r>
    </w:p>
    <w:p w:rsidR="00000000" w:rsidRPr="00B76C62" w:rsidP="00B76C62">
      <w:pPr>
        <w:pStyle w:val="ListBullet"/>
      </w:pPr>
      <w:r w:rsidRPr="00B76C62">
        <w:t>project drawings, details and specifications</w:t>
      </w:r>
    </w:p>
    <w:p w:rsidR="00000000" w:rsidRPr="00B76C62" w:rsidP="00B76C62">
      <w:pPr>
        <w:pStyle w:val="ListBullet"/>
      </w:pPr>
      <w:r w:rsidRPr="00B76C62">
        <w:t>organisational work practices and procedures</w:t>
      </w:r>
    </w:p>
    <w:p w:rsidR="00000000" w:rsidRPr="00B76C62" w:rsidP="00B76C62">
      <w:pPr>
        <w:pStyle w:val="ListBullet"/>
      </w:pPr>
      <w:r w:rsidRPr="00B76C62">
        <w:t>manufacturer specifications and installation instructions</w:t>
      </w:r>
    </w:p>
    <w:p w:rsidR="00000000" w:rsidRPr="00B76C62" w:rsidP="00B76C62">
      <w:pPr>
        <w:pStyle w:val="ListBullet"/>
      </w:pPr>
      <w:r w:rsidRPr="00B76C62">
        <w:t>properties, characteristics and limitations of specified materials, products and components</w:t>
      </w:r>
    </w:p>
    <w:p w:rsidR="00000000" w:rsidRPr="00B76C62" w:rsidP="00B76C62">
      <w:pPr>
        <w:pStyle w:val="ListBullet"/>
      </w:pPr>
      <w:r w:rsidRPr="00B76C62">
        <w:t>service inst</w:t>
      </w:r>
      <w:r w:rsidRPr="00B76C62">
        <w:t>allation terminology and definitions</w:t>
      </w:r>
    </w:p>
    <w:p w:rsidR="00000000" w:rsidRPr="00B76C62" w:rsidP="00B76C62">
      <w:pPr>
        <w:pStyle w:val="ListBullet"/>
      </w:pPr>
      <w:r w:rsidRPr="00B76C62">
        <w:t>water supply:</w:t>
      </w:r>
    </w:p>
    <w:p w:rsidR="00000000" w:rsidRPr="00B76C62" w:rsidP="00B76C62">
      <w:pPr>
        <w:pStyle w:val="ListBullet2"/>
      </w:pPr>
      <w:r w:rsidRPr="00B76C62">
        <w:t>single and two-stage pumping for multi-function and single function</w:t>
      </w:r>
    </w:p>
    <w:p w:rsidR="00000000" w:rsidRPr="00B76C62" w:rsidP="00B76C62">
      <w:pPr>
        <w:pStyle w:val="ListBullet2"/>
      </w:pPr>
      <w:r w:rsidRPr="00B76C62">
        <w:t>tank storage supply relative to the public water supply and reservoir heights</w:t>
      </w:r>
    </w:p>
    <w:p w:rsidR="00000000" w:rsidRPr="00B76C62" w:rsidP="00B76C62">
      <w:pPr>
        <w:pStyle w:val="ListBullet2"/>
      </w:pPr>
      <w:r w:rsidRPr="00B76C62">
        <w:t>town supply</w:t>
      </w:r>
    </w:p>
    <w:p w:rsidR="00000000" w:rsidRPr="00B76C62" w:rsidP="00B76C62">
      <w:pPr>
        <w:pStyle w:val="ListBullet"/>
      </w:pPr>
      <w:r w:rsidRPr="00B76C62">
        <w:t>sewage connection and layout:</w:t>
      </w:r>
    </w:p>
    <w:p w:rsidR="00000000" w:rsidRPr="00B76C62" w:rsidP="00B76C62">
      <w:pPr>
        <w:pStyle w:val="ListBullet2"/>
      </w:pPr>
      <w:r w:rsidRPr="00B76C62">
        <w:t>graded or vertical discharge pipes</w:t>
      </w:r>
    </w:p>
    <w:p w:rsidR="00000000" w:rsidRPr="00B76C62" w:rsidP="00B76C62">
      <w:pPr>
        <w:pStyle w:val="ListBullet2"/>
      </w:pPr>
      <w:r w:rsidRPr="00B76C62">
        <w:t>inspection shafts and overflow relief gullies (ORGs)</w:t>
      </w:r>
    </w:p>
    <w:p w:rsidR="00000000" w:rsidRPr="00B76C62" w:rsidP="00B76C62">
      <w:pPr>
        <w:pStyle w:val="ListBullet2"/>
      </w:pPr>
      <w:r w:rsidRPr="00B76C62">
        <w:t>local authority sewerage drainage system</w:t>
      </w:r>
    </w:p>
    <w:p w:rsidR="00000000" w:rsidRPr="00B76C62" w:rsidP="00B76C62">
      <w:pPr>
        <w:pStyle w:val="ListBullet2"/>
      </w:pPr>
      <w:r w:rsidRPr="00B76C62">
        <w:t>septic or biochemical treatment unit</w:t>
      </w:r>
    </w:p>
    <w:p w:rsidR="00000000" w:rsidRPr="00B76C62" w:rsidP="00B76C62">
      <w:pPr>
        <w:pStyle w:val="ListBullet"/>
      </w:pPr>
      <w:r w:rsidRPr="00B76C62">
        <w:t>methods of mechanical ventilation:</w:t>
      </w:r>
    </w:p>
    <w:p w:rsidR="00000000" w:rsidRPr="00B76C62" w:rsidP="00B76C62">
      <w:pPr>
        <w:pStyle w:val="ListBullet2"/>
      </w:pPr>
      <w:r w:rsidRPr="00B76C62">
        <w:t>air conditioning applications</w:t>
      </w:r>
    </w:p>
    <w:p w:rsidR="00000000" w:rsidRPr="00B76C62" w:rsidP="00B76C62">
      <w:pPr>
        <w:pStyle w:val="ListBullet2"/>
      </w:pPr>
      <w:r w:rsidRPr="00B76C62">
        <w:t>air distribution, inclu</w:t>
      </w:r>
      <w:r w:rsidRPr="00B76C62">
        <w:t>ding mechanical ventilation requirements for enclosed car parks</w:t>
      </w:r>
    </w:p>
    <w:p w:rsidR="00000000" w:rsidRPr="00B76C62" w:rsidP="00B76C62">
      <w:pPr>
        <w:pStyle w:val="ListBullet2"/>
      </w:pPr>
      <w:r w:rsidRPr="00B76C62">
        <w:t>air filtration, including air filters, ducting and main filter types</w:t>
      </w:r>
    </w:p>
    <w:p w:rsidR="00000000" w:rsidRPr="00B76C62" w:rsidP="00B76C62">
      <w:pPr>
        <w:pStyle w:val="ListBullet2"/>
      </w:pPr>
      <w:r w:rsidRPr="00B76C62">
        <w:t>mechanical ventilation</w:t>
      </w:r>
    </w:p>
    <w:p w:rsidR="00000000" w:rsidRPr="00B76C62" w:rsidP="00B76C62">
      <w:pPr>
        <w:pStyle w:val="ListBullet"/>
      </w:pPr>
      <w:r w:rsidRPr="00B76C62">
        <w:t>hot water system:</w:t>
      </w:r>
    </w:p>
    <w:p w:rsidR="00000000" w:rsidRPr="00B76C62" w:rsidP="00B76C62">
      <w:pPr>
        <w:pStyle w:val="ListBullet2"/>
      </w:pPr>
      <w:r w:rsidRPr="00B76C62">
        <w:t>area to be serviced</w:t>
      </w:r>
    </w:p>
    <w:p w:rsidR="00000000" w:rsidRPr="00B76C62" w:rsidP="00B76C62">
      <w:pPr>
        <w:pStyle w:val="ListBullet2"/>
      </w:pPr>
      <w:r w:rsidRPr="00B76C62">
        <w:t>energy sources available</w:t>
      </w:r>
    </w:p>
    <w:p w:rsidR="00000000" w:rsidRPr="00B76C62" w:rsidP="00B76C62">
      <w:pPr>
        <w:pStyle w:val="ListBullet2"/>
      </w:pPr>
      <w:r w:rsidRPr="00B76C62">
        <w:t>height of installation</w:t>
      </w:r>
    </w:p>
    <w:p w:rsidR="00000000" w:rsidRPr="00B76C62" w:rsidP="00B76C62">
      <w:pPr>
        <w:pStyle w:val="ListBullet2"/>
      </w:pPr>
      <w:r w:rsidRPr="00B76C62">
        <w:t>number of outlets</w:t>
      </w:r>
    </w:p>
    <w:p w:rsidR="00000000" w:rsidRPr="00B76C62" w:rsidP="00B76C62">
      <w:pPr>
        <w:pStyle w:val="ListBullet2"/>
      </w:pPr>
      <w:r w:rsidRPr="00B76C62">
        <w:t>type of occupancy</w:t>
      </w:r>
    </w:p>
    <w:p w:rsidR="00000000" w:rsidRPr="00B76C62" w:rsidP="00B76C62">
      <w:pPr>
        <w:pStyle w:val="ListBullet2"/>
      </w:pPr>
      <w:r w:rsidRPr="00B76C62">
        <w:t>type of system</w:t>
      </w:r>
    </w:p>
    <w:p w:rsidR="00000000" w:rsidRPr="00B76C62" w:rsidP="00B76C62">
      <w:pPr>
        <w:pStyle w:val="ListBullet"/>
      </w:pPr>
      <w:r w:rsidRPr="00B76C62">
        <w:t>lighting:</w:t>
      </w:r>
    </w:p>
    <w:p w:rsidR="00000000" w:rsidRPr="00B76C62" w:rsidP="00B76C62">
      <w:pPr>
        <w:pStyle w:val="ListBullet2"/>
      </w:pPr>
      <w:r w:rsidRPr="00B76C62">
        <w:t>emergency lighting</w:t>
      </w:r>
    </w:p>
    <w:p w:rsidR="00000000" w:rsidRPr="00B76C62" w:rsidP="00B76C62">
      <w:pPr>
        <w:pStyle w:val="ListBullet2"/>
      </w:pPr>
      <w:r w:rsidRPr="00B76C62">
        <w:t>natural and artificial lighting</w:t>
      </w:r>
    </w:p>
    <w:p w:rsidR="00000000" w:rsidRPr="00B76C62" w:rsidP="00B76C62">
      <w:pPr>
        <w:pStyle w:val="ListBullet"/>
      </w:pPr>
      <w:r w:rsidRPr="00B76C62">
        <w:t>electronic cabling factors:</w:t>
      </w:r>
    </w:p>
    <w:p w:rsidR="00000000" w:rsidRPr="00B76C62" w:rsidP="00B76C62">
      <w:pPr>
        <w:pStyle w:val="ListBullet2"/>
      </w:pPr>
      <w:r w:rsidRPr="00B76C62">
        <w:t>access for maintenance, repair and extension</w:t>
      </w:r>
    </w:p>
    <w:p w:rsidR="00000000" w:rsidRPr="00B76C62" w:rsidP="00B76C62">
      <w:pPr>
        <w:pStyle w:val="ListBullet2"/>
      </w:pPr>
      <w:r w:rsidRPr="00B76C62">
        <w:t>categories of cabling:</w:t>
      </w:r>
    </w:p>
    <w:p w:rsidR="00000000" w:rsidRPr="00B76C62" w:rsidP="00B76C62">
      <w:pPr>
        <w:pStyle w:val="ListBullet3"/>
      </w:pPr>
      <w:r w:rsidRPr="00B76C62">
        <w:t>data</w:t>
      </w:r>
    </w:p>
    <w:p w:rsidR="00000000" w:rsidRPr="00B76C62" w:rsidP="00B76C62">
      <w:pPr>
        <w:pStyle w:val="ListBullet3"/>
      </w:pPr>
      <w:r w:rsidRPr="00B76C62">
        <w:t>lift controls</w:t>
      </w:r>
    </w:p>
    <w:p w:rsidR="00000000" w:rsidRPr="00B76C62" w:rsidP="00B76C62">
      <w:pPr>
        <w:pStyle w:val="ListBullet3"/>
      </w:pPr>
      <w:r w:rsidRPr="00B76C62">
        <w:t>power supplies</w:t>
      </w:r>
    </w:p>
    <w:p w:rsidR="00000000" w:rsidRPr="00B76C62" w:rsidP="00B76C62">
      <w:pPr>
        <w:pStyle w:val="ListBullet3"/>
      </w:pPr>
      <w:r w:rsidRPr="00B76C62">
        <w:t>telecommunications</w:t>
      </w:r>
    </w:p>
    <w:p w:rsidR="00000000" w:rsidRPr="00B76C62" w:rsidP="00B76C62">
      <w:pPr>
        <w:pStyle w:val="ListBullet2"/>
      </w:pPr>
      <w:r w:rsidRPr="00B76C62">
        <w:t>layout of equipment:</w:t>
      </w:r>
    </w:p>
    <w:p w:rsidR="00000000" w:rsidRPr="00B76C62" w:rsidP="00B76C62">
      <w:pPr>
        <w:pStyle w:val="ListBullet3"/>
      </w:pPr>
      <w:r w:rsidRPr="00B76C62">
        <w:t>computers</w:t>
      </w:r>
    </w:p>
    <w:p w:rsidR="00000000" w:rsidRPr="00B76C62" w:rsidP="00B76C62">
      <w:pPr>
        <w:pStyle w:val="ListBullet3"/>
      </w:pPr>
      <w:r w:rsidRPr="00B76C62">
        <w:t>telephones</w:t>
      </w:r>
    </w:p>
    <w:p w:rsidR="00000000" w:rsidRPr="00B76C62" w:rsidP="00B76C62">
      <w:pPr>
        <w:pStyle w:val="ListBullet2"/>
      </w:pPr>
      <w:r w:rsidRPr="00B76C62">
        <w:t>safe guards</w:t>
      </w:r>
    </w:p>
    <w:p w:rsidR="00000000" w:rsidRPr="00B76C62" w:rsidP="00B76C62">
      <w:pPr>
        <w:pStyle w:val="ListBullet2"/>
      </w:pPr>
      <w:r w:rsidRPr="00B76C62">
        <w:t>type of service.</w:t>
      </w:r>
    </w:p>
    <w:p w:rsidR="00000000" w:rsidRPr="00B76C62" w:rsidP="00B76C62">
      <w:pPr>
        <w:pStyle w:val="AllowPageBreak"/>
      </w:pPr>
    </w:p>
    <w:p w:rsidR="00000000" w:rsidRPr="00B76C62" w:rsidP="00B76C62">
      <w:pPr>
        <w:pStyle w:val="Heading1"/>
      </w:pPr>
      <w:bookmarkStart w:id="4" w:name="O_1293381"/>
      <w:bookmarkEnd w:id="4"/>
      <w:r w:rsidRPr="00B76C62">
        <w:t>Assessment Conditions</w:t>
      </w:r>
    </w:p>
    <w:p w:rsidR="00000000" w:rsidRPr="00B76C62" w:rsidP="00A02FFB">
      <w:pPr>
        <w:pStyle w:val="BodyText"/>
      </w:pPr>
      <w:r w:rsidRPr="00B76C62">
        <w:t xml:space="preserve">Assessors must meet the requirements for assessors contained in the Standards for Registered Training Organisations. </w:t>
      </w:r>
    </w:p>
    <w:p w:rsidR="00000000" w:rsidRPr="00B76C62" w:rsidP="00A02FFB">
      <w:pPr>
        <w:pStyle w:val="BodyText"/>
      </w:pPr>
      <w:r w:rsidRPr="00B76C62">
        <w:t xml:space="preserve">Assessment can be undertaken in the workplace or in a simulated workplace environment. </w:t>
      </w:r>
    </w:p>
    <w:p w:rsidR="00000000" w:rsidRPr="00B76C62" w:rsidP="00A02FFB">
      <w:pPr>
        <w:pStyle w:val="BodyText"/>
      </w:pPr>
      <w:r w:rsidRPr="00B76C62">
        <w:t>A simulated environment is one that realistically replicates workplace conditions, materials and equipment, interactions with others and workplace irregularities, and w</w:t>
      </w:r>
      <w:r w:rsidRPr="00B76C62">
        <w:t xml:space="preserve">hich meets industry standards for safety and environmental practices.  </w:t>
      </w:r>
    </w:p>
    <w:p w:rsidR="00000000" w:rsidRPr="00B76C62" w:rsidP="00A02FFB">
      <w:pPr>
        <w:pStyle w:val="BodyText"/>
      </w:pPr>
      <w:r w:rsidRPr="00B76C62">
        <w:t>Candidates must have access to:</w:t>
      </w:r>
    </w:p>
    <w:p w:rsidR="00000000" w:rsidRPr="00B76C62" w:rsidP="00B76C62">
      <w:pPr>
        <w:pStyle w:val="ListBullet"/>
      </w:pPr>
      <w:r w:rsidRPr="00B76C62">
        <w:t>relevant state and territory building legislation codes and standards</w:t>
      </w:r>
    </w:p>
    <w:p w:rsidR="00000000" w:rsidRPr="00B76C62" w:rsidP="00B76C62">
      <w:pPr>
        <w:pStyle w:val="ListBullet"/>
      </w:pPr>
      <w:r w:rsidRPr="00B76C62">
        <w:t>the NCC</w:t>
      </w:r>
    </w:p>
    <w:p w:rsidR="00000000" w:rsidRPr="00B76C62" w:rsidP="00B76C62">
      <w:pPr>
        <w:pStyle w:val="ListBullet"/>
      </w:pPr>
      <w:r w:rsidRPr="00B76C62">
        <w:t>manufacturer’s specification and installation instructions</w:t>
      </w:r>
    </w:p>
    <w:p w:rsidR="00000000" w:rsidRPr="00B76C62" w:rsidP="00B76C62">
      <w:pPr>
        <w:pStyle w:val="ListBullet"/>
      </w:pPr>
      <w:r w:rsidRPr="00B76C62">
        <w:t>project plans,</w:t>
      </w:r>
      <w:r w:rsidRPr="00B76C62">
        <w:t xml:space="preserve"> details and specifications</w:t>
      </w:r>
    </w:p>
    <w:p w:rsidR="00000000" w:rsidRPr="00B76C62" w:rsidP="00B76C62">
      <w:pPr>
        <w:pStyle w:val="ListBullet"/>
      </w:pPr>
      <w:r w:rsidRPr="00B76C62">
        <w:t>technology, equipment and applications to access, extract, integrate, compile and produce information and drawings necessary to identify services layout and methods of connection.</w:t>
      </w:r>
    </w:p>
    <w:p w:rsidR="00000000" w:rsidRPr="00B76C62" w:rsidP="00B76C62">
      <w:pPr>
        <w:pStyle w:val="AllowPageBreak"/>
      </w:pPr>
    </w:p>
    <w:p w:rsidR="00000000" w:rsidRPr="00B76C62" w:rsidP="00B76C62">
      <w:pPr>
        <w:pStyle w:val="Heading1"/>
      </w:pPr>
      <w:bookmarkStart w:id="5" w:name="O_1293394"/>
      <w:bookmarkEnd w:id="5"/>
      <w:r w:rsidRPr="00B76C62">
        <w:t>Links</w:t>
      </w:r>
    </w:p>
    <w:p w:rsidR="00000000" w:rsidRPr="00B76C62" w:rsidP="00A02FFB">
      <w:pPr>
        <w:pStyle w:val="BodyText"/>
      </w:pPr>
      <w:r w:rsidRPr="00B76C62">
        <w:t>Companion volumes to th</w:t>
      </w:r>
      <w:r w:rsidRPr="00B76C62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62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6C62" w:rsidP="00B76C62"/>
    <w:sectPr w:rsidSect="00B76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62" w:rsidRPr="00A02FFB" w:rsidP="00A02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FB" w:rsidP="00B76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FFB" w:rsidP="00B76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2FFB" w:rsidP="00B76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C62" w:rsidRPr="00A02FFB" w:rsidP="00A02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FB" w:rsidRPr="002D2AF8" w:rsidP="00B76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CPCCBC5009 Identify services layout and connection methods for Type B and C constructions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02FFB" w:rsidP="00B76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0E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4F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E8C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C62"/>
  </w:style>
  <w:style w:type="character" w:customStyle="1" w:styleId="Heading1Char">
    <w:name w:val="Heading 1 Char"/>
    <w:basedOn w:val="DefaultParagraphFont"/>
    <w:link w:val="Heading1"/>
    <w:rsid w:val="00B76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C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C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6C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6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C62"/>
    <w:rPr>
      <w:b/>
      <w:spacing w:val="0"/>
    </w:rPr>
  </w:style>
  <w:style w:type="paragraph" w:customStyle="1" w:styleId="SuperTitle">
    <w:name w:val="SuperTitle"/>
    <w:basedOn w:val="Title"/>
    <w:rsid w:val="00B76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C62"/>
    <w:rPr>
      <w:i/>
    </w:rPr>
  </w:style>
  <w:style w:type="paragraph" w:styleId="Caption">
    <w:name w:val="caption"/>
    <w:basedOn w:val="BodyText"/>
    <w:next w:val="Normal"/>
    <w:qFormat/>
    <w:rsid w:val="00B76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C62"/>
  </w:style>
  <w:style w:type="paragraph" w:styleId="TableofFigures">
    <w:name w:val="table of figures"/>
    <w:basedOn w:val="Normal"/>
    <w:next w:val="Normal"/>
    <w:semiHidden/>
    <w:rsid w:val="00B76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C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6C62"/>
    <w:rPr>
      <w:rFonts w:ascii="Wingdings" w:hAnsi="Wingdings"/>
    </w:rPr>
  </w:style>
  <w:style w:type="paragraph" w:customStyle="1" w:styleId="TableHeading">
    <w:name w:val="Table Heading"/>
    <w:basedOn w:val="HeadingBase"/>
    <w:rsid w:val="00B76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C62"/>
    <w:rPr>
      <w:color w:val="0033CC"/>
      <w:u w:val="none"/>
    </w:rPr>
  </w:style>
  <w:style w:type="paragraph" w:customStyle="1" w:styleId="BodyTextRight">
    <w:name w:val="Body Text Right"/>
    <w:basedOn w:val="BodyText"/>
    <w:rsid w:val="00B76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C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C62"/>
    <w:rPr>
      <w:sz w:val="32"/>
    </w:rPr>
  </w:style>
  <w:style w:type="paragraph" w:customStyle="1" w:styleId="HeadingProcedure">
    <w:name w:val="Heading Procedure"/>
    <w:basedOn w:val="HeadingBase"/>
    <w:next w:val="Normal"/>
    <w:rsid w:val="00B76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C62"/>
    <w:pPr>
      <w:spacing w:before="60" w:after="60"/>
    </w:pPr>
  </w:style>
  <w:style w:type="paragraph" w:styleId="ListContinue">
    <w:name w:val="List Continue"/>
    <w:basedOn w:val="List"/>
    <w:rsid w:val="00B76C62"/>
    <w:pPr>
      <w:ind w:firstLine="0"/>
    </w:pPr>
  </w:style>
  <w:style w:type="paragraph" w:customStyle="1" w:styleId="ListNote">
    <w:name w:val="List Note"/>
    <w:basedOn w:val="List"/>
    <w:rsid w:val="00B76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C62"/>
    <w:rPr>
      <w:rFonts w:ascii="Courier New" w:hAnsi="Courier New"/>
    </w:rPr>
  </w:style>
  <w:style w:type="paragraph" w:customStyle="1" w:styleId="NoteBullet">
    <w:name w:val="Note Bullet"/>
    <w:basedOn w:val="Note"/>
    <w:rsid w:val="00B76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C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6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C62"/>
    <w:rPr>
      <w:b/>
      <w:smallCaps/>
    </w:rPr>
  </w:style>
  <w:style w:type="paragraph" w:customStyle="1" w:styleId="TableListNumber">
    <w:name w:val="Table List Number"/>
    <w:basedOn w:val="ListNumber"/>
    <w:rsid w:val="00B76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C62"/>
    <w:pPr>
      <w:numPr>
        <w:numId w:val="10"/>
      </w:numPr>
    </w:pPr>
  </w:style>
  <w:style w:type="paragraph" w:customStyle="1" w:styleId="ListAlpha2">
    <w:name w:val="List Alpha 2"/>
    <w:basedOn w:val="List2"/>
    <w:rsid w:val="00B76C62"/>
    <w:pPr>
      <w:numPr>
        <w:numId w:val="9"/>
      </w:numPr>
    </w:pPr>
  </w:style>
  <w:style w:type="paragraph" w:styleId="List2">
    <w:name w:val="List 2"/>
    <w:basedOn w:val="BodyText"/>
    <w:rsid w:val="00B76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C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6C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6C62"/>
    <w:pPr>
      <w:numPr>
        <w:numId w:val="5"/>
      </w:numPr>
    </w:pPr>
  </w:style>
  <w:style w:type="paragraph" w:styleId="ListContinue2">
    <w:name w:val="List Continue 2"/>
    <w:basedOn w:val="List2"/>
    <w:rsid w:val="00B76C62"/>
    <w:pPr>
      <w:ind w:firstLine="0"/>
    </w:pPr>
  </w:style>
  <w:style w:type="paragraph" w:styleId="ListContinue3">
    <w:name w:val="List Continue 3"/>
    <w:basedOn w:val="List3"/>
    <w:rsid w:val="00B76C62"/>
    <w:pPr>
      <w:ind w:left="1021" w:firstLine="0"/>
    </w:pPr>
  </w:style>
  <w:style w:type="paragraph" w:styleId="ListContinue4">
    <w:name w:val="List Continue 4"/>
    <w:basedOn w:val="List4"/>
    <w:rsid w:val="00B76C62"/>
    <w:pPr>
      <w:ind w:firstLine="0"/>
    </w:pPr>
  </w:style>
  <w:style w:type="paragraph" w:styleId="ListContinue5">
    <w:name w:val="List Continue 5"/>
    <w:basedOn w:val="List5"/>
    <w:rsid w:val="00B76C62"/>
    <w:pPr>
      <w:ind w:firstLine="0"/>
    </w:pPr>
  </w:style>
  <w:style w:type="paragraph" w:styleId="ListNumber3">
    <w:name w:val="List Number 3"/>
    <w:basedOn w:val="List3"/>
    <w:rsid w:val="00B76C62"/>
    <w:pPr>
      <w:numPr>
        <w:numId w:val="6"/>
      </w:numPr>
    </w:pPr>
  </w:style>
  <w:style w:type="paragraph" w:styleId="ListNumber4">
    <w:name w:val="List Number 4"/>
    <w:basedOn w:val="List4"/>
    <w:rsid w:val="00B76C62"/>
    <w:pPr>
      <w:numPr>
        <w:numId w:val="7"/>
      </w:numPr>
    </w:pPr>
  </w:style>
  <w:style w:type="paragraph" w:styleId="ListNumber5">
    <w:name w:val="List Number 5"/>
    <w:basedOn w:val="List5"/>
    <w:rsid w:val="00B76C62"/>
    <w:pPr>
      <w:numPr>
        <w:numId w:val="8"/>
      </w:numPr>
    </w:pPr>
  </w:style>
  <w:style w:type="paragraph" w:styleId="BlockText">
    <w:name w:val="Block Text"/>
    <w:basedOn w:val="Normal"/>
    <w:rsid w:val="00B76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C62"/>
    <w:rPr>
      <w:sz w:val="16"/>
      <w:vertAlign w:val="superscript"/>
    </w:rPr>
  </w:style>
  <w:style w:type="character" w:customStyle="1" w:styleId="Symbols">
    <w:name w:val="Symbols"/>
    <w:basedOn w:val="DefaultParagraphFont"/>
    <w:rsid w:val="00B76C62"/>
    <w:rPr>
      <w:rFonts w:ascii="Symbol" w:hAnsi="Symbol"/>
    </w:rPr>
  </w:style>
  <w:style w:type="character" w:customStyle="1" w:styleId="MenuOptions">
    <w:name w:val="Menu Options"/>
    <w:basedOn w:val="DefaultParagraphFont"/>
    <w:rsid w:val="00B76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C62"/>
    <w:rPr>
      <w:b/>
    </w:rPr>
  </w:style>
  <w:style w:type="character" w:customStyle="1" w:styleId="Underlined">
    <w:name w:val="Underlined"/>
    <w:basedOn w:val="DefaultParagraphFont"/>
    <w:rsid w:val="00B76C62"/>
    <w:rPr>
      <w:u w:val="single"/>
    </w:rPr>
  </w:style>
  <w:style w:type="paragraph" w:customStyle="1" w:styleId="TableBodyTextRight">
    <w:name w:val="Table Body Text Right"/>
    <w:basedOn w:val="TableBodyText"/>
    <w:rsid w:val="00B76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C62"/>
    <w:rPr>
      <w:sz w:val="18"/>
    </w:rPr>
  </w:style>
  <w:style w:type="paragraph" w:customStyle="1" w:styleId="BodySmallRight">
    <w:name w:val="Body Small Right"/>
    <w:basedOn w:val="BodyTextRight"/>
    <w:rsid w:val="00B76C62"/>
    <w:rPr>
      <w:sz w:val="18"/>
      <w:szCs w:val="18"/>
    </w:rPr>
  </w:style>
  <w:style w:type="paragraph" w:customStyle="1" w:styleId="MarginEdition">
    <w:name w:val="Margin Edition"/>
    <w:basedOn w:val="MarginNote"/>
    <w:rsid w:val="00B76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C62"/>
    <w:rPr>
      <w:sz w:val="2"/>
      <w:szCs w:val="2"/>
    </w:rPr>
  </w:style>
  <w:style w:type="character" w:customStyle="1" w:styleId="Small">
    <w:name w:val="Small"/>
    <w:basedOn w:val="DefaultParagraphFont"/>
    <w:rsid w:val="00B76C62"/>
    <w:rPr>
      <w:sz w:val="16"/>
    </w:rPr>
  </w:style>
  <w:style w:type="paragraph" w:customStyle="1" w:styleId="WideTable">
    <w:name w:val="Wide Table"/>
    <w:basedOn w:val="Normal"/>
    <w:rsid w:val="00B76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C62"/>
  </w:style>
  <w:style w:type="paragraph" w:styleId="Quote">
    <w:name w:val="Quote"/>
    <w:basedOn w:val="Heading1"/>
    <w:link w:val="QuoteChar"/>
    <w:qFormat/>
    <w:rsid w:val="00B76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C62"/>
    <w:pPr>
      <w:pageBreakBefore/>
    </w:pPr>
  </w:style>
  <w:style w:type="paragraph" w:customStyle="1" w:styleId="Border">
    <w:name w:val="Border"/>
    <w:basedOn w:val="Normal"/>
    <w:qFormat/>
    <w:rsid w:val="00B76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C62"/>
    <w:rPr>
      <w:u w:val="single"/>
    </w:rPr>
  </w:style>
  <w:style w:type="character" w:customStyle="1" w:styleId="BoldandItalics">
    <w:name w:val="Bold and Italics"/>
    <w:qFormat/>
    <w:rsid w:val="00B76C62"/>
    <w:rPr>
      <w:b/>
      <w:i/>
      <w:u w:val="none"/>
    </w:rPr>
  </w:style>
  <w:style w:type="paragraph" w:styleId="BalloonText">
    <w:name w:val="Balloon Text"/>
    <w:basedOn w:val="Normal"/>
    <w:link w:val="BalloonTextChar"/>
    <w:rsid w:val="00B76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C62"/>
    <w:pPr>
      <w:spacing w:before="0" w:after="0"/>
    </w:pPr>
  </w:style>
  <w:style w:type="paragraph" w:customStyle="1" w:styleId="BodyTextBold">
    <w:name w:val="Body Text Bold"/>
    <w:basedOn w:val="BodyText"/>
    <w:qFormat/>
    <w:rsid w:val="00B76C62"/>
    <w:rPr>
      <w:b/>
    </w:rPr>
  </w:style>
  <w:style w:type="character" w:styleId="Hyperlink">
    <w:name w:val="Hyperlink"/>
    <w:basedOn w:val="DefaultParagraphFont"/>
    <w:uiPriority w:val="99"/>
    <w:unhideWhenUsed/>
    <w:rsid w:val="00A02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3593</Characters>
  <Application>Microsoft Office Word</Application>
  <DocSecurity>0</DocSecurity>
  <Lines>105</Lines>
  <Paragraphs>91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CPCCBC5009 Identify services layout and connection methods for Type B and C constructions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