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12AE" w:rsidP="00A312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CPCCBC5007 Administer the legal obligations of a building and construction contractor</w:t>
      </w:r>
      <w:r>
        <w:fldChar w:fldCharType="end"/>
      </w:r>
    </w:p>
    <w:p w:rsidR="00A312AE" w:rsidP="00A312AE">
      <w:pPr>
        <w:pStyle w:val="Version"/>
        <w:sectPr w:rsidSect="007C2F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2FEF" w:rsidP="007C2FEF">
      <w:pPr>
        <w:pStyle w:val="SuperHeading"/>
      </w:pPr>
      <w:r w:rsidRPr="007C2FEF">
        <w:t>Assessment Requirements for CPCCBC5007 Administer the legal obligations of a building and construction contractor</w:t>
      </w:r>
    </w:p>
    <w:p w:rsidR="00000000" w:rsidRPr="007C2FEF" w:rsidP="007C2FEF">
      <w:pPr>
        <w:pStyle w:val="Heading1"/>
      </w:pPr>
      <w:bookmarkStart w:id="1" w:name="O_1293368"/>
      <w:bookmarkEnd w:id="1"/>
      <w:r w:rsidRPr="007C2F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C2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EF">
            <w:pPr>
              <w:pStyle w:val="BodyText"/>
              <w:rPr>
                <w:lang w:val="en-NZ"/>
              </w:rPr>
            </w:pPr>
            <w:r w:rsidRPr="007C2FE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EF">
            <w:pPr>
              <w:pStyle w:val="BodyText"/>
              <w:rPr>
                <w:lang w:val="en-NZ"/>
              </w:rPr>
            </w:pPr>
            <w:r w:rsidRPr="007C2FEF">
              <w:t>Updated reference to general construction induction training program.</w:t>
            </w:r>
          </w:p>
        </w:tc>
      </w:tr>
      <w:tr w:rsidTr="007C2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EF">
            <w:pPr>
              <w:pStyle w:val="BodyText"/>
              <w:rPr>
                <w:lang w:val="en-NZ"/>
              </w:rPr>
            </w:pPr>
            <w:r w:rsidRPr="007C2FE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EF" w:rsidP="007C2FEF">
            <w:pPr>
              <w:pStyle w:val="BodyText"/>
            </w:pPr>
            <w:r w:rsidRPr="007C2FEF">
              <w:t>This version first released with CPC Construction, Plumbing and Services Training Package Release 5.0.</w:t>
            </w:r>
          </w:p>
          <w:p w:rsidR="00000000" w:rsidRPr="007C2FEF" w:rsidP="007C2FEF">
            <w:pPr>
              <w:pStyle w:val="BodyText"/>
            </w:pPr>
            <w:r w:rsidRPr="007C2FEF">
              <w:t>Supersedes and is equivalent to CPCCBC5007B Administer the legal obligations of a building or construction contractor.  Updated to meet the Standards for</w:t>
            </w:r>
            <w:r w:rsidRPr="007C2FEF">
              <w:t xml:space="preserve"> Training Packages 2012.</w:t>
            </w:r>
          </w:p>
        </w:tc>
      </w:tr>
    </w:tbl>
    <w:p w:rsidR="00000000" w:rsidRPr="007C2FEF" w:rsidP="007C2FEF">
      <w:pPr>
        <w:pStyle w:val="BodyText"/>
      </w:pPr>
    </w:p>
    <w:p w:rsidR="00000000" w:rsidRPr="007C2FEF" w:rsidP="007C2FEF">
      <w:pPr>
        <w:pStyle w:val="AllowPageBreak"/>
      </w:pPr>
    </w:p>
    <w:p w:rsidR="00000000" w:rsidRPr="007C2FEF" w:rsidP="007C2FEF">
      <w:pPr>
        <w:pStyle w:val="Heading1"/>
      </w:pPr>
      <w:bookmarkStart w:id="2" w:name="O_1293367"/>
      <w:bookmarkEnd w:id="2"/>
      <w:r w:rsidRPr="007C2FEF">
        <w:t>Performance Evidence</w:t>
      </w:r>
    </w:p>
    <w:p w:rsidR="00000000" w:rsidRPr="007C2FEF" w:rsidP="00A312AE">
      <w:pPr>
        <w:pStyle w:val="BodyText"/>
      </w:pPr>
      <w:r w:rsidRPr="007C2FEF">
        <w:t>To demonstrate competency, a candidate must meet the performance criteria of this unit by administering the contactor’s legal obligations of one building or construction project.</w:t>
      </w:r>
    </w:p>
    <w:p w:rsidR="00000000" w:rsidRPr="007C2FEF" w:rsidP="00A312AE">
      <w:pPr>
        <w:pStyle w:val="BodyText"/>
      </w:pPr>
      <w:r w:rsidRPr="007C2FEF">
        <w:t>In doing t</w:t>
      </w:r>
      <w:r w:rsidRPr="007C2FEF">
        <w:t>his, the candidate must:</w:t>
      </w:r>
    </w:p>
    <w:p w:rsidR="00000000" w:rsidRPr="007C2FEF" w:rsidP="007C2FEF">
      <w:pPr>
        <w:pStyle w:val="ListBullet"/>
      </w:pPr>
      <w:r w:rsidRPr="007C2FEF">
        <w:t>advise appropriate authorities and gain the necessary approvals or responses</w:t>
      </w:r>
    </w:p>
    <w:p w:rsidR="00000000" w:rsidRPr="007C2FEF" w:rsidP="007C2FEF">
      <w:pPr>
        <w:pStyle w:val="ListBullet"/>
      </w:pPr>
      <w:r w:rsidRPr="007C2FEF">
        <w:t>establish and maintain good human relations with contracted employees, subcontractors and other stakeholders</w:t>
      </w:r>
    </w:p>
    <w:p w:rsidR="00000000" w:rsidRPr="007C2FEF" w:rsidP="007C2FEF">
      <w:pPr>
        <w:pStyle w:val="ListBullet"/>
      </w:pPr>
      <w:r w:rsidRPr="007C2FEF">
        <w:t>manage organisational taxation and insurance obligations</w:t>
      </w:r>
    </w:p>
    <w:p w:rsidR="00000000" w:rsidRPr="007C2FEF" w:rsidP="007C2FEF">
      <w:pPr>
        <w:pStyle w:val="AllowPageBreak"/>
      </w:pPr>
    </w:p>
    <w:p w:rsidR="00000000" w:rsidRPr="007C2FEF" w:rsidP="007C2FEF">
      <w:pPr>
        <w:pStyle w:val="Heading1"/>
      </w:pPr>
      <w:bookmarkStart w:id="3" w:name="O_1293366"/>
      <w:bookmarkEnd w:id="3"/>
      <w:r w:rsidRPr="007C2FEF">
        <w:t>Knowledge Evidence</w:t>
      </w:r>
    </w:p>
    <w:p w:rsidR="00000000" w:rsidRPr="007C2FEF" w:rsidP="00A312AE">
      <w:pPr>
        <w:pStyle w:val="BodyText"/>
      </w:pPr>
      <w:r w:rsidRPr="007C2FEF">
        <w:t>To be competent in this unit, a candidate must demonstrate knowledge of:</w:t>
      </w:r>
    </w:p>
    <w:p w:rsidR="00000000" w:rsidRPr="007C2FEF" w:rsidP="007C2FEF">
      <w:pPr>
        <w:pStyle w:val="ListBullet"/>
      </w:pPr>
      <w:r w:rsidRPr="007C2FEF">
        <w:t>Commonwealth and state/territory legislation and regulations appropriate to the operati</w:t>
      </w:r>
      <w:r w:rsidRPr="007C2FEF">
        <w:t>ons of the business:</w:t>
      </w:r>
    </w:p>
    <w:p w:rsidR="00000000" w:rsidRPr="007C2FEF" w:rsidP="007C2FEF">
      <w:pPr>
        <w:pStyle w:val="ListBullet2"/>
      </w:pPr>
      <w:r w:rsidRPr="007C2FEF">
        <w:t>Building Code of Australia (BCA)</w:t>
      </w:r>
    </w:p>
    <w:p w:rsidR="00000000" w:rsidRPr="007C2FEF" w:rsidP="007C2FEF">
      <w:pPr>
        <w:pStyle w:val="ListBullet2"/>
      </w:pPr>
      <w:r w:rsidRPr="007C2FEF">
        <w:t>Australian Consumer Law (ACL)</w:t>
      </w:r>
    </w:p>
    <w:p w:rsidR="00000000" w:rsidRPr="007C2FEF" w:rsidP="007C2FEF">
      <w:pPr>
        <w:pStyle w:val="ListBullet2"/>
      </w:pPr>
      <w:r w:rsidRPr="007C2FEF">
        <w:t>Australian Securities and Investments Commission (ASIC)</w:t>
      </w:r>
    </w:p>
    <w:p w:rsidR="00000000" w:rsidRPr="007C2FEF" w:rsidP="007C2FEF">
      <w:pPr>
        <w:pStyle w:val="ListBullet2"/>
      </w:pPr>
      <w:r w:rsidRPr="007C2FEF">
        <w:t>public liability, workers compensation, property and project work insurance requirements</w:t>
      </w:r>
    </w:p>
    <w:p w:rsidR="00000000" w:rsidRPr="007C2FEF" w:rsidP="007C2FEF">
      <w:pPr>
        <w:pStyle w:val="ListBullet2"/>
      </w:pPr>
      <w:r w:rsidRPr="007C2FEF">
        <w:t xml:space="preserve">industrial relations Acts </w:t>
      </w:r>
      <w:r w:rsidRPr="007C2FEF">
        <w:t>and regulations</w:t>
      </w:r>
    </w:p>
    <w:p w:rsidR="00000000" w:rsidRPr="007C2FEF" w:rsidP="007C2FEF">
      <w:pPr>
        <w:pStyle w:val="ListBullet2"/>
      </w:pPr>
      <w:r w:rsidRPr="007C2FEF">
        <w:t>privacy</w:t>
      </w:r>
    </w:p>
    <w:p w:rsidR="00000000" w:rsidRPr="007C2FEF" w:rsidP="007C2FEF">
      <w:pPr>
        <w:pStyle w:val="ListBullet2"/>
      </w:pPr>
      <w:r w:rsidRPr="007C2FEF">
        <w:t>superannuation contributions</w:t>
      </w:r>
    </w:p>
    <w:p w:rsidR="00000000" w:rsidRPr="007C2FEF" w:rsidP="007C2FEF">
      <w:pPr>
        <w:pStyle w:val="ListBullet2"/>
      </w:pPr>
      <w:r w:rsidRPr="007C2FEF">
        <w:t>work health and safety (WHS)</w:t>
      </w:r>
    </w:p>
    <w:p w:rsidR="00000000" w:rsidRPr="007C2FEF" w:rsidP="007C2FEF">
      <w:pPr>
        <w:pStyle w:val="ListBullet2"/>
      </w:pPr>
      <w:r w:rsidRPr="007C2FEF">
        <w:t xml:space="preserve">environmental and sustainability </w:t>
      </w:r>
    </w:p>
    <w:p w:rsidR="00000000" w:rsidRPr="007C2FEF" w:rsidP="007C2FEF">
      <w:pPr>
        <w:pStyle w:val="ListBullet"/>
      </w:pPr>
      <w:r w:rsidRPr="007C2FEF">
        <w:t xml:space="preserve">Australian Tax Office (ATO) requirements </w:t>
      </w:r>
    </w:p>
    <w:p w:rsidR="00000000" w:rsidRPr="007C2FEF" w:rsidP="007C2FEF">
      <w:pPr>
        <w:pStyle w:val="ListBullet"/>
      </w:pPr>
      <w:r w:rsidRPr="007C2FEF">
        <w:t>builder’s registration and licensing requirements</w:t>
      </w:r>
    </w:p>
    <w:p w:rsidR="00000000" w:rsidRPr="007C2FEF" w:rsidP="007C2FEF">
      <w:pPr>
        <w:pStyle w:val="ListBullet"/>
      </w:pPr>
      <w:r w:rsidRPr="007C2FEF">
        <w:t>return to work and rehabilitation arrangements</w:t>
      </w:r>
    </w:p>
    <w:p w:rsidR="00000000" w:rsidRPr="007C2FEF" w:rsidP="007C2FEF">
      <w:pPr>
        <w:pStyle w:val="ListBullet"/>
      </w:pPr>
      <w:r w:rsidRPr="007C2FEF">
        <w:t>employees and subcontractor’s awards and agreements</w:t>
      </w:r>
    </w:p>
    <w:p w:rsidR="00000000" w:rsidRPr="007C2FEF" w:rsidP="007C2FEF">
      <w:pPr>
        <w:pStyle w:val="ListBullet"/>
      </w:pPr>
      <w:r w:rsidRPr="007C2FEF">
        <w:t>building industry codes of practice and standards</w:t>
      </w:r>
    </w:p>
    <w:p w:rsidR="00000000" w:rsidRPr="007C2FEF" w:rsidP="007C2FEF">
      <w:pPr>
        <w:pStyle w:val="ListBullet"/>
      </w:pPr>
      <w:r w:rsidRPr="007C2FEF">
        <w:t xml:space="preserve">Australian Business Licence and Information Service (ABLIS) </w:t>
      </w:r>
    </w:p>
    <w:p w:rsidR="00000000" w:rsidRPr="007C2FEF" w:rsidP="007C2FEF">
      <w:pPr>
        <w:pStyle w:val="ListBullet"/>
      </w:pPr>
      <w:r w:rsidRPr="007C2FEF">
        <w:t>local building authority regulations.</w:t>
      </w:r>
    </w:p>
    <w:p w:rsidR="00000000" w:rsidRPr="007C2FEF" w:rsidP="007C2FEF">
      <w:pPr>
        <w:pStyle w:val="AllowPageBreak"/>
      </w:pPr>
    </w:p>
    <w:p w:rsidR="00000000" w:rsidRPr="007C2FEF" w:rsidP="007C2FEF">
      <w:pPr>
        <w:pStyle w:val="Heading1"/>
      </w:pPr>
      <w:bookmarkStart w:id="4" w:name="O_1293365"/>
      <w:bookmarkEnd w:id="4"/>
      <w:r w:rsidRPr="007C2FEF">
        <w:t>Assessment Conditions</w:t>
      </w:r>
    </w:p>
    <w:p w:rsidR="00000000" w:rsidRPr="007C2FEF" w:rsidP="00A312AE">
      <w:pPr>
        <w:pStyle w:val="BodyText"/>
      </w:pPr>
      <w:r w:rsidRPr="007C2FEF">
        <w:t>Assessors must</w:t>
      </w:r>
      <w:r w:rsidRPr="007C2FEF">
        <w:t xml:space="preserve"> meet the requirements for assessors contained in the Standards for Registered Training Organisations. </w:t>
      </w:r>
    </w:p>
    <w:p w:rsidR="00000000" w:rsidRPr="007C2FEF" w:rsidP="00A312AE">
      <w:pPr>
        <w:pStyle w:val="BodyText"/>
      </w:pPr>
      <w:r w:rsidRPr="007C2FEF">
        <w:t xml:space="preserve">Assessment of performance must be undertaken in the workplace or in a realistically simulated workplace environment. </w:t>
      </w:r>
    </w:p>
    <w:p w:rsidR="00000000" w:rsidRPr="007C2FEF" w:rsidP="00A312AE">
      <w:pPr>
        <w:pStyle w:val="BodyText"/>
      </w:pPr>
      <w:r w:rsidRPr="007C2FEF">
        <w:t>Candidates must have access to:</w:t>
      </w:r>
    </w:p>
    <w:p w:rsidR="00000000" w:rsidRPr="007C2FEF" w:rsidP="007C2FEF">
      <w:pPr>
        <w:pStyle w:val="ListBullet"/>
      </w:pPr>
      <w:r w:rsidRPr="007C2FEF">
        <w:t>current and relevant Commonwealth and state and territory legislation for businesses</w:t>
      </w:r>
    </w:p>
    <w:p w:rsidR="00000000" w:rsidRPr="007C2FEF" w:rsidP="007C2FEF">
      <w:pPr>
        <w:pStyle w:val="ListBullet"/>
      </w:pPr>
      <w:r w:rsidRPr="007C2FEF">
        <w:t>relevant codes, standards and regulations for operating a business</w:t>
      </w:r>
    </w:p>
    <w:p w:rsidR="00000000" w:rsidRPr="007C2FEF" w:rsidP="007C2FEF">
      <w:pPr>
        <w:pStyle w:val="ListBullet"/>
      </w:pPr>
      <w:r w:rsidRPr="007C2FEF">
        <w:t>copies of appropriate awards, workplace agreements and contracts</w:t>
      </w:r>
    </w:p>
    <w:p w:rsidR="00000000" w:rsidRPr="007C2FEF" w:rsidP="007C2FEF">
      <w:pPr>
        <w:pStyle w:val="ListBullet"/>
      </w:pPr>
      <w:r w:rsidRPr="007C2FEF">
        <w:t>business equipment and technology to ac</w:t>
      </w:r>
      <w:r w:rsidRPr="007C2FEF">
        <w:t>cess information, lodge documentation and records, securely store legal documentation and records and facilitate administration of legal obligations of a building or construction contractor.</w:t>
      </w:r>
    </w:p>
    <w:p w:rsidR="00000000" w:rsidRPr="007C2FEF" w:rsidP="007C2FEF">
      <w:pPr>
        <w:pStyle w:val="AllowPageBreak"/>
      </w:pPr>
    </w:p>
    <w:p w:rsidR="00000000" w:rsidRPr="007C2FEF" w:rsidP="007C2FEF">
      <w:pPr>
        <w:pStyle w:val="Heading1"/>
      </w:pPr>
      <w:bookmarkStart w:id="5" w:name="O_1293378"/>
      <w:bookmarkEnd w:id="5"/>
      <w:r w:rsidRPr="007C2FEF">
        <w:t>Links</w:t>
      </w:r>
    </w:p>
    <w:p w:rsidR="00000000" w:rsidRPr="007C2FEF" w:rsidP="00A312AE">
      <w:pPr>
        <w:pStyle w:val="BodyText"/>
      </w:pPr>
      <w:r w:rsidRPr="007C2FEF">
        <w:t>Companion volumes to this training packa</w:t>
      </w:r>
      <w:r w:rsidRPr="007C2FEF">
        <w:t xml:space="preserve">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A526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C2FEF" w:rsidP="007C2FEF"/>
    <w:sectPr w:rsidSect="007C2F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EF" w:rsidRPr="00A312AE" w:rsidP="00A312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2AE" w:rsidP="007C2F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12AE" w:rsidP="007C2F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312AE" w:rsidP="007C2F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2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FEF" w:rsidRPr="00A312AE" w:rsidP="00A312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2AE" w:rsidRPr="002D2AF8" w:rsidP="007C2F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CPCCBC5007 Administer the legal obligations of a building and construction contractor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312AE" w:rsidP="007C2F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E21B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D07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BC86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F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F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F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F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F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F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F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F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F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F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F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FEF"/>
  </w:style>
  <w:style w:type="character" w:customStyle="1" w:styleId="Heading1Char">
    <w:name w:val="Heading 1 Char"/>
    <w:basedOn w:val="DefaultParagraphFont"/>
    <w:link w:val="Heading1"/>
    <w:rsid w:val="007C2F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F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F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2F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2F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2F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F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2F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F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F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F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F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F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F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F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F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F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F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F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F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F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F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F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F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F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2F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2F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2FEF"/>
    <w:rPr>
      <w:b/>
      <w:spacing w:val="0"/>
    </w:rPr>
  </w:style>
  <w:style w:type="paragraph" w:customStyle="1" w:styleId="SuperTitle">
    <w:name w:val="SuperTitle"/>
    <w:basedOn w:val="Title"/>
    <w:rsid w:val="007C2F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F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F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2F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F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F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F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F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F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F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F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F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2FEF"/>
    <w:rPr>
      <w:i/>
    </w:rPr>
  </w:style>
  <w:style w:type="paragraph" w:styleId="Caption">
    <w:name w:val="caption"/>
    <w:basedOn w:val="BodyText"/>
    <w:next w:val="Normal"/>
    <w:qFormat/>
    <w:rsid w:val="007C2F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F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F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FEF"/>
  </w:style>
  <w:style w:type="paragraph" w:styleId="TableofFigures">
    <w:name w:val="table of figures"/>
    <w:basedOn w:val="Normal"/>
    <w:next w:val="Normal"/>
    <w:semiHidden/>
    <w:rsid w:val="007C2F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F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2FEF"/>
    <w:rPr>
      <w:rFonts w:ascii="Wingdings" w:hAnsi="Wingdings"/>
    </w:rPr>
  </w:style>
  <w:style w:type="paragraph" w:customStyle="1" w:styleId="TableHeading">
    <w:name w:val="Table Heading"/>
    <w:basedOn w:val="HeadingBase"/>
    <w:rsid w:val="007C2F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FEF"/>
    <w:rPr>
      <w:color w:val="0033CC"/>
      <w:u w:val="none"/>
    </w:rPr>
  </w:style>
  <w:style w:type="paragraph" w:customStyle="1" w:styleId="BodyTextRight">
    <w:name w:val="Body Text Right"/>
    <w:basedOn w:val="BodyText"/>
    <w:rsid w:val="007C2F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F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F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F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F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F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FEF"/>
    <w:rPr>
      <w:sz w:val="32"/>
    </w:rPr>
  </w:style>
  <w:style w:type="paragraph" w:customStyle="1" w:styleId="HeadingProcedure">
    <w:name w:val="Heading Procedure"/>
    <w:basedOn w:val="HeadingBase"/>
    <w:next w:val="Normal"/>
    <w:rsid w:val="007C2F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FEF"/>
    <w:pPr>
      <w:spacing w:before="60" w:after="60"/>
    </w:pPr>
  </w:style>
  <w:style w:type="paragraph" w:styleId="ListContinue">
    <w:name w:val="List Continue"/>
    <w:basedOn w:val="List"/>
    <w:rsid w:val="007C2FEF"/>
    <w:pPr>
      <w:ind w:firstLine="0"/>
    </w:pPr>
  </w:style>
  <w:style w:type="paragraph" w:customStyle="1" w:styleId="ListNote">
    <w:name w:val="List Note"/>
    <w:basedOn w:val="List"/>
    <w:rsid w:val="007C2F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F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F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FEF"/>
    <w:rPr>
      <w:rFonts w:ascii="Courier New" w:hAnsi="Courier New"/>
    </w:rPr>
  </w:style>
  <w:style w:type="paragraph" w:customStyle="1" w:styleId="NoteBullet">
    <w:name w:val="Note Bullet"/>
    <w:basedOn w:val="Note"/>
    <w:rsid w:val="007C2F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F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F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F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F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2F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F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FEF"/>
    <w:rPr>
      <w:b/>
      <w:smallCaps/>
    </w:rPr>
  </w:style>
  <w:style w:type="paragraph" w:customStyle="1" w:styleId="TableListNumber">
    <w:name w:val="Table List Number"/>
    <w:basedOn w:val="ListNumber"/>
    <w:rsid w:val="007C2F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F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FEF"/>
    <w:pPr>
      <w:numPr>
        <w:numId w:val="9"/>
      </w:numPr>
    </w:pPr>
  </w:style>
  <w:style w:type="paragraph" w:customStyle="1" w:styleId="ListAlpha2">
    <w:name w:val="List Alpha 2"/>
    <w:basedOn w:val="List2"/>
    <w:rsid w:val="007C2FEF"/>
    <w:pPr>
      <w:numPr>
        <w:numId w:val="8"/>
      </w:numPr>
    </w:pPr>
  </w:style>
  <w:style w:type="paragraph" w:styleId="List2">
    <w:name w:val="List 2"/>
    <w:basedOn w:val="BodyText"/>
    <w:rsid w:val="007C2F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F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F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F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2F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2F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2FEF"/>
    <w:pPr>
      <w:numPr>
        <w:numId w:val="4"/>
      </w:numPr>
    </w:pPr>
  </w:style>
  <w:style w:type="paragraph" w:styleId="ListContinue2">
    <w:name w:val="List Continue 2"/>
    <w:basedOn w:val="List2"/>
    <w:rsid w:val="007C2FEF"/>
    <w:pPr>
      <w:ind w:firstLine="0"/>
    </w:pPr>
  </w:style>
  <w:style w:type="paragraph" w:styleId="ListContinue3">
    <w:name w:val="List Continue 3"/>
    <w:basedOn w:val="List3"/>
    <w:rsid w:val="007C2FEF"/>
    <w:pPr>
      <w:ind w:left="1021" w:firstLine="0"/>
    </w:pPr>
  </w:style>
  <w:style w:type="paragraph" w:styleId="ListContinue4">
    <w:name w:val="List Continue 4"/>
    <w:basedOn w:val="List4"/>
    <w:rsid w:val="007C2FEF"/>
    <w:pPr>
      <w:ind w:firstLine="0"/>
    </w:pPr>
  </w:style>
  <w:style w:type="paragraph" w:styleId="ListContinue5">
    <w:name w:val="List Continue 5"/>
    <w:basedOn w:val="List5"/>
    <w:rsid w:val="007C2FEF"/>
    <w:pPr>
      <w:ind w:firstLine="0"/>
    </w:pPr>
  </w:style>
  <w:style w:type="paragraph" w:styleId="ListNumber3">
    <w:name w:val="List Number 3"/>
    <w:basedOn w:val="List3"/>
    <w:rsid w:val="007C2FEF"/>
    <w:pPr>
      <w:numPr>
        <w:numId w:val="5"/>
      </w:numPr>
    </w:pPr>
  </w:style>
  <w:style w:type="paragraph" w:styleId="ListNumber4">
    <w:name w:val="List Number 4"/>
    <w:basedOn w:val="List4"/>
    <w:rsid w:val="007C2FEF"/>
    <w:pPr>
      <w:numPr>
        <w:numId w:val="6"/>
      </w:numPr>
    </w:pPr>
  </w:style>
  <w:style w:type="paragraph" w:styleId="ListNumber5">
    <w:name w:val="List Number 5"/>
    <w:basedOn w:val="List5"/>
    <w:rsid w:val="007C2FEF"/>
    <w:pPr>
      <w:numPr>
        <w:numId w:val="7"/>
      </w:numPr>
    </w:pPr>
  </w:style>
  <w:style w:type="paragraph" w:styleId="BlockText">
    <w:name w:val="Block Text"/>
    <w:basedOn w:val="Normal"/>
    <w:rsid w:val="007C2F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F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FEF"/>
    <w:rPr>
      <w:sz w:val="16"/>
      <w:vertAlign w:val="superscript"/>
    </w:rPr>
  </w:style>
  <w:style w:type="character" w:customStyle="1" w:styleId="Symbols">
    <w:name w:val="Symbols"/>
    <w:basedOn w:val="DefaultParagraphFont"/>
    <w:rsid w:val="007C2FEF"/>
    <w:rPr>
      <w:rFonts w:ascii="Symbol" w:hAnsi="Symbol"/>
    </w:rPr>
  </w:style>
  <w:style w:type="character" w:customStyle="1" w:styleId="MenuOptions">
    <w:name w:val="Menu Options"/>
    <w:basedOn w:val="DefaultParagraphFont"/>
    <w:rsid w:val="007C2F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FEF"/>
    <w:rPr>
      <w:b/>
    </w:rPr>
  </w:style>
  <w:style w:type="character" w:customStyle="1" w:styleId="Underlined">
    <w:name w:val="Underlined"/>
    <w:basedOn w:val="DefaultParagraphFont"/>
    <w:rsid w:val="007C2FEF"/>
    <w:rPr>
      <w:u w:val="single"/>
    </w:rPr>
  </w:style>
  <w:style w:type="paragraph" w:customStyle="1" w:styleId="TableBodyTextRight">
    <w:name w:val="Table Body Text Right"/>
    <w:basedOn w:val="TableBodyText"/>
    <w:rsid w:val="007C2F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FEF"/>
    <w:rPr>
      <w:sz w:val="18"/>
    </w:rPr>
  </w:style>
  <w:style w:type="paragraph" w:customStyle="1" w:styleId="BodySmallRight">
    <w:name w:val="Body Small Right"/>
    <w:basedOn w:val="BodyTextRight"/>
    <w:rsid w:val="007C2FEF"/>
    <w:rPr>
      <w:sz w:val="18"/>
      <w:szCs w:val="18"/>
    </w:rPr>
  </w:style>
  <w:style w:type="paragraph" w:customStyle="1" w:styleId="MarginEdition">
    <w:name w:val="Margin Edition"/>
    <w:basedOn w:val="MarginNote"/>
    <w:rsid w:val="007C2F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FEF"/>
    <w:rPr>
      <w:sz w:val="2"/>
      <w:szCs w:val="2"/>
    </w:rPr>
  </w:style>
  <w:style w:type="character" w:customStyle="1" w:styleId="Small">
    <w:name w:val="Small"/>
    <w:basedOn w:val="DefaultParagraphFont"/>
    <w:rsid w:val="007C2FEF"/>
    <w:rPr>
      <w:sz w:val="16"/>
    </w:rPr>
  </w:style>
  <w:style w:type="paragraph" w:customStyle="1" w:styleId="WideTable">
    <w:name w:val="Wide Table"/>
    <w:basedOn w:val="Normal"/>
    <w:rsid w:val="007C2F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FEF"/>
  </w:style>
  <w:style w:type="paragraph" w:styleId="Quote">
    <w:name w:val="Quote"/>
    <w:basedOn w:val="Heading1"/>
    <w:link w:val="QuoteChar"/>
    <w:qFormat/>
    <w:rsid w:val="007C2F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F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FEF"/>
    <w:pPr>
      <w:pageBreakBefore/>
    </w:pPr>
  </w:style>
  <w:style w:type="paragraph" w:customStyle="1" w:styleId="Border">
    <w:name w:val="Border"/>
    <w:basedOn w:val="Normal"/>
    <w:qFormat/>
    <w:rsid w:val="007C2F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F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F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F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F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F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F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F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F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FEF"/>
    <w:rPr>
      <w:u w:val="single"/>
    </w:rPr>
  </w:style>
  <w:style w:type="character" w:customStyle="1" w:styleId="BoldandItalics">
    <w:name w:val="Bold and Italics"/>
    <w:qFormat/>
    <w:rsid w:val="007C2FEF"/>
    <w:rPr>
      <w:b/>
      <w:i/>
      <w:u w:val="none"/>
    </w:rPr>
  </w:style>
  <w:style w:type="paragraph" w:styleId="BalloonText">
    <w:name w:val="Balloon Text"/>
    <w:basedOn w:val="Normal"/>
    <w:link w:val="BalloonTextChar"/>
    <w:rsid w:val="007C2F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F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F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F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F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F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FEF"/>
    <w:pPr>
      <w:spacing w:before="0" w:after="0"/>
    </w:pPr>
  </w:style>
  <w:style w:type="paragraph" w:customStyle="1" w:styleId="BodyTextBold">
    <w:name w:val="Body Text Bold"/>
    <w:basedOn w:val="BodyText"/>
    <w:qFormat/>
    <w:rsid w:val="007C2FEF"/>
    <w:rPr>
      <w:b/>
    </w:rPr>
  </w:style>
  <w:style w:type="character" w:styleId="Hyperlink">
    <w:name w:val="Hyperlink"/>
    <w:basedOn w:val="DefaultParagraphFont"/>
    <w:uiPriority w:val="99"/>
    <w:unhideWhenUsed/>
    <w:rsid w:val="00A312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2704</Characters>
  <Application>Microsoft Office Word</Application>
  <DocSecurity>0</DocSecurity>
  <Lines>71</Lines>
  <Paragraphs>52</Paragraphs>
  <ScaleCrop>false</ScaleCrop>
  <Company>Author-it Software Corporation Ltd.</Company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CPCCBC5007 Administer the legal obligations of a building and construction contractor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2024-12-24T01:39:00Z</dcterms:created>
  <dcterms:modified xsi:type="dcterms:W3CDTF">2024-12-24T01:39:00Z</dcterms:modified>
</cp:coreProperties>
</file>