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AE7" w:rsidP="00FE3A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CPCCBC5001 Apply building codes and standards to the construction process for Type B construction</w:t>
      </w:r>
      <w:r>
        <w:fldChar w:fldCharType="end"/>
      </w:r>
    </w:p>
    <w:p w:rsidR="00FE3AE7" w:rsidP="00FE3AE7">
      <w:pPr>
        <w:pStyle w:val="Version"/>
        <w:sectPr w:rsidSect="001754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5412" w:rsidP="00175412">
      <w:pPr>
        <w:pStyle w:val="SuperHeading"/>
      </w:pPr>
      <w:r w:rsidRPr="00175412">
        <w:t>Assessment Requirements for CPCCBC5001 Apply building codes and standards to the construction process for Type B construction</w:t>
      </w:r>
    </w:p>
    <w:p w:rsidR="00000000" w:rsidRPr="00175412" w:rsidP="00175412">
      <w:pPr>
        <w:pStyle w:val="Heading1"/>
      </w:pPr>
      <w:bookmarkStart w:id="1" w:name="O_1293160"/>
      <w:bookmarkEnd w:id="1"/>
      <w:r w:rsidRPr="001754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75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412">
            <w:pPr>
              <w:pStyle w:val="BodyText"/>
              <w:rPr>
                <w:lang w:val="en-NZ"/>
              </w:rPr>
            </w:pPr>
            <w:r w:rsidRPr="0017541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412">
            <w:pPr>
              <w:pStyle w:val="BodyText"/>
              <w:rPr>
                <w:lang w:val="en-NZ"/>
              </w:rPr>
            </w:pPr>
            <w:r w:rsidRPr="00175412">
              <w:t>Updated reference to general construction induction training program.</w:t>
            </w:r>
          </w:p>
        </w:tc>
      </w:tr>
      <w:tr w:rsidTr="00175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412">
            <w:pPr>
              <w:pStyle w:val="BodyText"/>
              <w:rPr>
                <w:lang w:val="en-NZ"/>
              </w:rPr>
            </w:pPr>
            <w:r w:rsidRPr="0017541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412" w:rsidP="00175412">
            <w:pPr>
              <w:pStyle w:val="BodyText"/>
            </w:pPr>
            <w:r w:rsidRPr="00175412">
              <w:t>This version first released with CPC Construction, Plumbing and Services Training Package Release 5.0.</w:t>
            </w:r>
          </w:p>
          <w:p w:rsidR="00000000" w:rsidRPr="00175412" w:rsidP="00175412">
            <w:pPr>
              <w:pStyle w:val="BodyText"/>
            </w:pPr>
            <w:r w:rsidRPr="00175412">
              <w:t>Supersedes and is equivalent to CPCCBC5001B Apply building codes and standards to the construction process for medium rise building projects.  Change to</w:t>
            </w:r>
            <w:r w:rsidRPr="00175412">
              <w:t xml:space="preserve"> title.  Updated to meet the Standards for Training Packages 2012.</w:t>
            </w:r>
          </w:p>
        </w:tc>
      </w:tr>
    </w:tbl>
    <w:p w:rsidR="00000000" w:rsidRPr="00175412" w:rsidP="00175412">
      <w:pPr>
        <w:pStyle w:val="BodyText"/>
      </w:pPr>
    </w:p>
    <w:p w:rsidR="00000000" w:rsidRPr="00175412" w:rsidP="00175412">
      <w:pPr>
        <w:pStyle w:val="AllowPageBreak"/>
      </w:pPr>
    </w:p>
    <w:p w:rsidR="00000000" w:rsidRPr="00175412" w:rsidP="00175412">
      <w:pPr>
        <w:pStyle w:val="Heading1"/>
      </w:pPr>
      <w:bookmarkStart w:id="2" w:name="O_1293159"/>
      <w:bookmarkEnd w:id="2"/>
      <w:r w:rsidRPr="00175412">
        <w:t>Performance Evidence</w:t>
      </w:r>
    </w:p>
    <w:p w:rsidR="00000000" w:rsidRPr="00175412" w:rsidP="00FE3AE7">
      <w:pPr>
        <w:pStyle w:val="BodyText"/>
      </w:pPr>
      <w:r w:rsidRPr="00175412">
        <w:t>To demonstrate competency, a candidate must meet the elements and performance criteria of this unit by applying building codes and standards to the</w:t>
      </w:r>
      <w:r w:rsidRPr="00175412">
        <w:t xml:space="preserve"> construction of two Type B buildings:</w:t>
      </w:r>
    </w:p>
    <w:p w:rsidR="00000000" w:rsidRPr="00175412" w:rsidP="00175412">
      <w:pPr>
        <w:pStyle w:val="ListBullet"/>
      </w:pPr>
      <w:r w:rsidRPr="00175412">
        <w:t>one Class 2, 3 or 9 and</w:t>
      </w:r>
    </w:p>
    <w:p w:rsidR="00000000" w:rsidRPr="00175412" w:rsidP="00175412">
      <w:pPr>
        <w:pStyle w:val="ListBullet"/>
      </w:pPr>
      <w:r w:rsidRPr="00175412">
        <w:t>one Class 5 to 8.</w:t>
      </w:r>
    </w:p>
    <w:p w:rsidR="00000000" w:rsidRPr="00175412" w:rsidP="00FE3AE7">
      <w:pPr>
        <w:pStyle w:val="BodyText"/>
      </w:pPr>
      <w:r w:rsidRPr="00175412">
        <w:t>In doing this, the candidate must:</w:t>
      </w:r>
    </w:p>
    <w:p w:rsidR="00000000" w:rsidRPr="00175412" w:rsidP="00175412">
      <w:pPr>
        <w:pStyle w:val="ListBullet"/>
      </w:pPr>
      <w:r w:rsidRPr="00175412">
        <w:t>identify the National Construction Code (NCC) Performance Requirements of the project:</w:t>
      </w:r>
    </w:p>
    <w:p w:rsidR="00000000" w:rsidRPr="00175412" w:rsidP="00175412">
      <w:pPr>
        <w:pStyle w:val="ListBullet2"/>
      </w:pPr>
      <w:r w:rsidRPr="00175412">
        <w:t>structure</w:t>
      </w:r>
    </w:p>
    <w:p w:rsidR="00000000" w:rsidRPr="00175412" w:rsidP="00175412">
      <w:pPr>
        <w:pStyle w:val="ListBullet2"/>
      </w:pPr>
      <w:r w:rsidRPr="00175412">
        <w:t>fire resistance</w:t>
      </w:r>
    </w:p>
    <w:p w:rsidR="00000000" w:rsidRPr="00175412" w:rsidP="00175412">
      <w:pPr>
        <w:pStyle w:val="ListBullet2"/>
      </w:pPr>
      <w:r w:rsidRPr="00175412">
        <w:t>access and egress</w:t>
      </w:r>
    </w:p>
    <w:p w:rsidR="00000000" w:rsidRPr="00175412" w:rsidP="00175412">
      <w:pPr>
        <w:pStyle w:val="ListBullet2"/>
      </w:pPr>
      <w:r w:rsidRPr="00175412">
        <w:t>services and equipment</w:t>
      </w:r>
    </w:p>
    <w:p w:rsidR="00000000" w:rsidRPr="00175412" w:rsidP="00175412">
      <w:pPr>
        <w:pStyle w:val="ListBullet2"/>
      </w:pPr>
      <w:r w:rsidRPr="00175412">
        <w:t>health and amenity</w:t>
      </w:r>
    </w:p>
    <w:p w:rsidR="00000000" w:rsidRPr="00175412" w:rsidP="00175412">
      <w:pPr>
        <w:pStyle w:val="ListBullet2"/>
      </w:pPr>
      <w:r w:rsidRPr="00175412">
        <w:t>ancillary provisions</w:t>
      </w:r>
    </w:p>
    <w:p w:rsidR="00000000" w:rsidRPr="00175412" w:rsidP="00175412">
      <w:pPr>
        <w:pStyle w:val="ListBullet"/>
      </w:pPr>
      <w:r w:rsidRPr="00175412">
        <w:t xml:space="preserve">determine Performance Solutions by applying performance based and Deem-to-Satisfy solutions or a combination of both to meet the Performance Requirements </w:t>
      </w:r>
    </w:p>
    <w:p w:rsidR="00000000" w:rsidRPr="00175412" w:rsidP="00175412">
      <w:pPr>
        <w:pStyle w:val="ListBullet"/>
      </w:pPr>
      <w:r w:rsidRPr="00175412">
        <w:t xml:space="preserve">apply assessment methods, within the </w:t>
      </w:r>
      <w:r w:rsidRPr="00175412">
        <w:t>General Requirements of the NCC, to determine whether the solutions meet the relevant Performance Requirements</w:t>
      </w:r>
    </w:p>
    <w:p w:rsidR="00000000" w:rsidRPr="00175412" w:rsidP="00175412">
      <w:pPr>
        <w:pStyle w:val="ListBullet"/>
      </w:pPr>
      <w:r w:rsidRPr="00175412">
        <w:t xml:space="preserve">apply evidence of suitability requirements, as stated in the National Construction Code (NCC), to repudiate non-conforming building products. </w:t>
      </w:r>
    </w:p>
    <w:p w:rsidR="00000000" w:rsidRPr="00175412" w:rsidP="00175412">
      <w:pPr>
        <w:pStyle w:val="AllowPageBreak"/>
      </w:pPr>
    </w:p>
    <w:p w:rsidR="00000000" w:rsidRPr="00175412" w:rsidP="00175412">
      <w:pPr>
        <w:pStyle w:val="Heading1"/>
      </w:pPr>
      <w:bookmarkStart w:id="3" w:name="O_1293158"/>
      <w:bookmarkEnd w:id="3"/>
      <w:r w:rsidRPr="00175412">
        <w:t>Knowledge Evidence</w:t>
      </w:r>
    </w:p>
    <w:p w:rsidR="00000000" w:rsidRPr="00175412" w:rsidP="00FE3AE7">
      <w:pPr>
        <w:pStyle w:val="BodyText"/>
      </w:pPr>
      <w:r w:rsidRPr="00175412">
        <w:t>To be competent in this unit, a candidate must demonstrate knowledge of:</w:t>
      </w:r>
    </w:p>
    <w:p w:rsidR="00000000" w:rsidRPr="00175412" w:rsidP="00175412">
      <w:pPr>
        <w:pStyle w:val="ListBullet"/>
      </w:pPr>
      <w:r w:rsidRPr="00175412">
        <w:t>relevant government building and construction legislation, codes and standards</w:t>
      </w:r>
    </w:p>
    <w:p w:rsidR="00000000" w:rsidRPr="00175412" w:rsidP="00175412">
      <w:pPr>
        <w:pStyle w:val="ListBullet"/>
      </w:pPr>
      <w:r w:rsidRPr="00175412">
        <w:t>contractual requirements</w:t>
      </w:r>
    </w:p>
    <w:p w:rsidR="00000000" w:rsidRPr="00175412" w:rsidP="00175412">
      <w:pPr>
        <w:pStyle w:val="ListBullet"/>
      </w:pPr>
      <w:r w:rsidRPr="00175412">
        <w:t>the NCC:</w:t>
      </w:r>
    </w:p>
    <w:p w:rsidR="00000000" w:rsidRPr="00175412" w:rsidP="00175412">
      <w:pPr>
        <w:pStyle w:val="ListBullet2"/>
      </w:pPr>
      <w:r w:rsidRPr="00175412">
        <w:t>building classification</w:t>
      </w:r>
    </w:p>
    <w:p w:rsidR="00000000" w:rsidRPr="00175412" w:rsidP="00175412">
      <w:pPr>
        <w:pStyle w:val="ListBullet2"/>
      </w:pPr>
      <w:r w:rsidRPr="00175412">
        <w:t>Perform</w:t>
      </w:r>
      <w:r w:rsidRPr="00175412">
        <w:t>ance Requirements</w:t>
      </w:r>
    </w:p>
    <w:p w:rsidR="00000000" w:rsidRPr="00175412" w:rsidP="00175412">
      <w:pPr>
        <w:pStyle w:val="ListBullet2"/>
      </w:pPr>
      <w:r w:rsidRPr="00175412">
        <w:t>Performance Solutions</w:t>
      </w:r>
    </w:p>
    <w:p w:rsidR="00000000" w:rsidRPr="00175412" w:rsidP="00175412">
      <w:pPr>
        <w:pStyle w:val="ListBullet2"/>
      </w:pPr>
      <w:r w:rsidRPr="00175412">
        <w:t>Performance Hierarchy</w:t>
      </w:r>
    </w:p>
    <w:p w:rsidR="00000000" w:rsidRPr="00175412" w:rsidP="00175412">
      <w:pPr>
        <w:pStyle w:val="ListBullet2"/>
      </w:pPr>
      <w:r w:rsidRPr="00175412">
        <w:t>Assessment Methods</w:t>
      </w:r>
    </w:p>
    <w:p w:rsidR="00000000" w:rsidRPr="00175412" w:rsidP="00175412">
      <w:pPr>
        <w:pStyle w:val="ListBullet2"/>
      </w:pPr>
      <w:r w:rsidRPr="00175412">
        <w:t>Verification Methods</w:t>
      </w:r>
    </w:p>
    <w:p w:rsidR="00000000" w:rsidRPr="00175412" w:rsidP="00175412">
      <w:pPr>
        <w:pStyle w:val="ListBullet2"/>
      </w:pPr>
      <w:r w:rsidRPr="00175412">
        <w:t>comparison with Deem-to-Satisfy provisions</w:t>
      </w:r>
    </w:p>
    <w:p w:rsidR="00000000" w:rsidRPr="00175412" w:rsidP="00175412">
      <w:pPr>
        <w:pStyle w:val="ListBullet2"/>
      </w:pPr>
      <w:r w:rsidRPr="00175412">
        <w:t xml:space="preserve">evidence of suitability </w:t>
      </w:r>
    </w:p>
    <w:p w:rsidR="00000000" w:rsidRPr="00175412" w:rsidP="00175412">
      <w:pPr>
        <w:pStyle w:val="ListBullet2"/>
      </w:pPr>
      <w:r w:rsidRPr="00175412">
        <w:t xml:space="preserve">Expert Judgement </w:t>
      </w:r>
    </w:p>
    <w:p w:rsidR="00000000" w:rsidRPr="00175412" w:rsidP="00175412">
      <w:pPr>
        <w:pStyle w:val="ListBullet"/>
      </w:pPr>
      <w:r w:rsidRPr="00175412">
        <w:t>causes and implications of building detects related to failure of applying building codes and standards to residential and commercial buildings</w:t>
      </w:r>
    </w:p>
    <w:p w:rsidR="00000000" w:rsidRPr="00175412" w:rsidP="00175412">
      <w:pPr>
        <w:pStyle w:val="ListBullet"/>
      </w:pPr>
      <w:r w:rsidRPr="00175412">
        <w:t>extent of remedial work required for various defects caused by inadequate design and application of building cod</w:t>
      </w:r>
      <w:r w:rsidRPr="00175412">
        <w:t>es and practices</w:t>
      </w:r>
    </w:p>
    <w:p w:rsidR="00000000" w:rsidRPr="00175412" w:rsidP="00175412">
      <w:pPr>
        <w:pStyle w:val="ListBullet"/>
      </w:pPr>
      <w:r w:rsidRPr="00175412">
        <w:t>working drawings and specifications</w:t>
      </w:r>
    </w:p>
    <w:p w:rsidR="00000000" w:rsidRPr="00175412" w:rsidP="00175412">
      <w:pPr>
        <w:pStyle w:val="ListBullet"/>
      </w:pPr>
      <w:r w:rsidRPr="00175412">
        <w:t>organisational quality assurance and policies and procedures</w:t>
      </w:r>
    </w:p>
    <w:p w:rsidR="00000000" w:rsidRPr="00175412" w:rsidP="00175412">
      <w:pPr>
        <w:pStyle w:val="AllowPageBreak"/>
      </w:pPr>
    </w:p>
    <w:p w:rsidR="00000000" w:rsidRPr="00175412" w:rsidP="00175412">
      <w:pPr>
        <w:pStyle w:val="Heading1"/>
      </w:pPr>
      <w:bookmarkStart w:id="4" w:name="O_1293157"/>
      <w:bookmarkEnd w:id="4"/>
      <w:r w:rsidRPr="00175412">
        <w:t>Assessment Conditions</w:t>
      </w:r>
    </w:p>
    <w:p w:rsidR="00000000" w:rsidRPr="00175412" w:rsidP="00FE3AE7">
      <w:pPr>
        <w:pStyle w:val="BodyText"/>
      </w:pPr>
      <w:r w:rsidRPr="00175412">
        <w:t>Assessors must meet the requirements for assessors contained in the Standards for Registered Training</w:t>
      </w:r>
      <w:r w:rsidRPr="00175412">
        <w:t xml:space="preserve"> Organisations. </w:t>
      </w:r>
    </w:p>
    <w:p w:rsidR="00000000" w:rsidRPr="00175412" w:rsidP="00FE3AE7">
      <w:pPr>
        <w:pStyle w:val="BodyText"/>
      </w:pPr>
      <w:r w:rsidRPr="00175412">
        <w:t xml:space="preserve">Assessment can be undertaken in the workplace or in a simulated workplace environment. </w:t>
      </w:r>
    </w:p>
    <w:p w:rsidR="00000000" w:rsidRPr="00175412" w:rsidP="00FE3AE7">
      <w:pPr>
        <w:pStyle w:val="BodyText"/>
      </w:pPr>
      <w:r w:rsidRPr="00175412">
        <w:t>A simulated environment is one that realistically replicates workplace conditions, materials and equipment, interactions with others and workplace irre</w:t>
      </w:r>
      <w:r w:rsidRPr="00175412">
        <w:t xml:space="preserve">gularities, and which meets industry standards for safety and environmental practices.  </w:t>
      </w:r>
    </w:p>
    <w:p w:rsidR="00000000" w:rsidRPr="00175412" w:rsidP="00FE3AE7">
      <w:pPr>
        <w:pStyle w:val="BodyText"/>
      </w:pPr>
      <w:r w:rsidRPr="00175412">
        <w:t>Candidates must have access to:</w:t>
      </w:r>
    </w:p>
    <w:p w:rsidR="00000000" w:rsidRPr="00175412" w:rsidP="00175412">
      <w:pPr>
        <w:pStyle w:val="ListBullet"/>
      </w:pPr>
      <w:r w:rsidRPr="00175412">
        <w:t>current and relevant government building and construction Acts and regulations</w:t>
      </w:r>
    </w:p>
    <w:p w:rsidR="00000000" w:rsidRPr="00175412" w:rsidP="00175412">
      <w:pPr>
        <w:pStyle w:val="ListBullet"/>
      </w:pPr>
      <w:r w:rsidRPr="00175412">
        <w:t>project plans and specifications</w:t>
      </w:r>
    </w:p>
    <w:p w:rsidR="00000000" w:rsidRPr="00175412" w:rsidP="00175412">
      <w:pPr>
        <w:pStyle w:val="ListBullet"/>
      </w:pPr>
      <w:r w:rsidRPr="00175412">
        <w:t>building codes, standards and manufacturer’s products and materials specifications</w:t>
      </w:r>
    </w:p>
    <w:p w:rsidR="00000000" w:rsidRPr="00175412" w:rsidP="00175412">
      <w:pPr>
        <w:pStyle w:val="ListBullet"/>
      </w:pPr>
      <w:r w:rsidRPr="00175412">
        <w:t>the NCC</w:t>
      </w:r>
    </w:p>
    <w:p w:rsidR="00000000" w:rsidRPr="00175412" w:rsidP="00175412">
      <w:pPr>
        <w:pStyle w:val="ListBullet"/>
      </w:pPr>
      <w:r w:rsidRPr="00175412">
        <w:t>technology, applications and software to access and source information.</w:t>
      </w:r>
    </w:p>
    <w:p w:rsidR="00000000" w:rsidRPr="00175412" w:rsidP="00175412">
      <w:pPr>
        <w:pStyle w:val="AllowPageBreak"/>
      </w:pPr>
    </w:p>
    <w:p w:rsidR="00000000" w:rsidRPr="00175412" w:rsidP="00175412">
      <w:pPr>
        <w:pStyle w:val="Heading1"/>
      </w:pPr>
      <w:bookmarkStart w:id="5" w:name="O_1293170"/>
      <w:bookmarkEnd w:id="5"/>
      <w:r w:rsidRPr="00175412">
        <w:t>Links</w:t>
      </w:r>
    </w:p>
    <w:p w:rsidR="00000000" w:rsidRPr="00175412" w:rsidP="00FE3AE7">
      <w:pPr>
        <w:pStyle w:val="BodyText"/>
      </w:pPr>
      <w:r w:rsidRPr="00175412">
        <w:t>Companion volumes to this training package are available at the VETN</w:t>
      </w:r>
      <w:r w:rsidRPr="00175412">
        <w:t xml:space="preserve">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A5BE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75412" w:rsidP="00175412"/>
    <w:sectPr w:rsidSect="001754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4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412" w:rsidRPr="00FE3AE7" w:rsidP="00FE3A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4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E7" w:rsidP="00175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3AE7" w:rsidP="00175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E3AE7" w:rsidP="001754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4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412" w:rsidRPr="00FE3AE7" w:rsidP="00FE3A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4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E7" w:rsidRPr="002D2AF8" w:rsidP="00175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CPCCBC5001 Apply building codes and standards to the construction process for Type B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E3AE7" w:rsidP="001754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9863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123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4CE9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4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4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4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4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4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4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4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4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4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4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4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412"/>
  </w:style>
  <w:style w:type="character" w:customStyle="1" w:styleId="Heading1Char">
    <w:name w:val="Heading 1 Char"/>
    <w:basedOn w:val="DefaultParagraphFont"/>
    <w:link w:val="Heading1"/>
    <w:rsid w:val="001754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4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4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54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54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54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4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54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4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4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4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4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4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4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4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4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4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4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4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4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4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54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54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5412"/>
    <w:rPr>
      <w:b/>
      <w:spacing w:val="0"/>
    </w:rPr>
  </w:style>
  <w:style w:type="paragraph" w:customStyle="1" w:styleId="SuperTitle">
    <w:name w:val="SuperTitle"/>
    <w:basedOn w:val="Title"/>
    <w:rsid w:val="001754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4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4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54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4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4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4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4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4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4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4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4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5412"/>
    <w:rPr>
      <w:i/>
    </w:rPr>
  </w:style>
  <w:style w:type="paragraph" w:styleId="Caption">
    <w:name w:val="caption"/>
    <w:basedOn w:val="BodyText"/>
    <w:next w:val="Normal"/>
    <w:qFormat/>
    <w:rsid w:val="001754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4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4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412"/>
  </w:style>
  <w:style w:type="paragraph" w:styleId="TableofFigures">
    <w:name w:val="table of figures"/>
    <w:basedOn w:val="Normal"/>
    <w:next w:val="Normal"/>
    <w:semiHidden/>
    <w:rsid w:val="001754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4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5412"/>
    <w:rPr>
      <w:rFonts w:ascii="Wingdings" w:hAnsi="Wingdings"/>
    </w:rPr>
  </w:style>
  <w:style w:type="paragraph" w:customStyle="1" w:styleId="TableHeading">
    <w:name w:val="Table Heading"/>
    <w:basedOn w:val="HeadingBase"/>
    <w:rsid w:val="001754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412"/>
    <w:rPr>
      <w:color w:val="0033CC"/>
      <w:u w:val="none"/>
    </w:rPr>
  </w:style>
  <w:style w:type="paragraph" w:customStyle="1" w:styleId="BodyTextRight">
    <w:name w:val="Body Text Right"/>
    <w:basedOn w:val="BodyText"/>
    <w:rsid w:val="001754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4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4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4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4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4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412"/>
    <w:rPr>
      <w:sz w:val="32"/>
    </w:rPr>
  </w:style>
  <w:style w:type="paragraph" w:customStyle="1" w:styleId="HeadingProcedure">
    <w:name w:val="Heading Procedure"/>
    <w:basedOn w:val="HeadingBase"/>
    <w:next w:val="Normal"/>
    <w:rsid w:val="001754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412"/>
    <w:pPr>
      <w:spacing w:before="60" w:after="60"/>
    </w:pPr>
  </w:style>
  <w:style w:type="paragraph" w:styleId="ListContinue">
    <w:name w:val="List Continue"/>
    <w:basedOn w:val="List"/>
    <w:rsid w:val="00175412"/>
    <w:pPr>
      <w:ind w:firstLine="0"/>
    </w:pPr>
  </w:style>
  <w:style w:type="paragraph" w:customStyle="1" w:styleId="ListNote">
    <w:name w:val="List Note"/>
    <w:basedOn w:val="List"/>
    <w:rsid w:val="001754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4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4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412"/>
    <w:rPr>
      <w:rFonts w:ascii="Courier New" w:hAnsi="Courier New"/>
    </w:rPr>
  </w:style>
  <w:style w:type="paragraph" w:customStyle="1" w:styleId="NoteBullet">
    <w:name w:val="Note Bullet"/>
    <w:basedOn w:val="Note"/>
    <w:rsid w:val="001754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4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4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4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4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54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4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412"/>
    <w:rPr>
      <w:b/>
      <w:smallCaps/>
    </w:rPr>
  </w:style>
  <w:style w:type="paragraph" w:customStyle="1" w:styleId="TableListNumber">
    <w:name w:val="Table List Number"/>
    <w:basedOn w:val="ListNumber"/>
    <w:rsid w:val="001754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4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412"/>
    <w:pPr>
      <w:numPr>
        <w:numId w:val="9"/>
      </w:numPr>
    </w:pPr>
  </w:style>
  <w:style w:type="paragraph" w:customStyle="1" w:styleId="ListAlpha2">
    <w:name w:val="List Alpha 2"/>
    <w:basedOn w:val="List2"/>
    <w:rsid w:val="00175412"/>
    <w:pPr>
      <w:numPr>
        <w:numId w:val="8"/>
      </w:numPr>
    </w:pPr>
  </w:style>
  <w:style w:type="paragraph" w:styleId="List2">
    <w:name w:val="List 2"/>
    <w:basedOn w:val="BodyText"/>
    <w:rsid w:val="001754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4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4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4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4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4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5412"/>
    <w:pPr>
      <w:numPr>
        <w:numId w:val="4"/>
      </w:numPr>
    </w:pPr>
  </w:style>
  <w:style w:type="paragraph" w:styleId="ListContinue2">
    <w:name w:val="List Continue 2"/>
    <w:basedOn w:val="List2"/>
    <w:rsid w:val="00175412"/>
    <w:pPr>
      <w:ind w:firstLine="0"/>
    </w:pPr>
  </w:style>
  <w:style w:type="paragraph" w:styleId="ListContinue3">
    <w:name w:val="List Continue 3"/>
    <w:basedOn w:val="List3"/>
    <w:rsid w:val="00175412"/>
    <w:pPr>
      <w:ind w:left="1021" w:firstLine="0"/>
    </w:pPr>
  </w:style>
  <w:style w:type="paragraph" w:styleId="ListContinue4">
    <w:name w:val="List Continue 4"/>
    <w:basedOn w:val="List4"/>
    <w:rsid w:val="00175412"/>
    <w:pPr>
      <w:ind w:firstLine="0"/>
    </w:pPr>
  </w:style>
  <w:style w:type="paragraph" w:styleId="ListContinue5">
    <w:name w:val="List Continue 5"/>
    <w:basedOn w:val="List5"/>
    <w:rsid w:val="00175412"/>
    <w:pPr>
      <w:ind w:firstLine="0"/>
    </w:pPr>
  </w:style>
  <w:style w:type="paragraph" w:styleId="ListNumber3">
    <w:name w:val="List Number 3"/>
    <w:basedOn w:val="List3"/>
    <w:rsid w:val="00175412"/>
    <w:pPr>
      <w:numPr>
        <w:numId w:val="5"/>
      </w:numPr>
    </w:pPr>
  </w:style>
  <w:style w:type="paragraph" w:styleId="ListNumber4">
    <w:name w:val="List Number 4"/>
    <w:basedOn w:val="List4"/>
    <w:rsid w:val="00175412"/>
    <w:pPr>
      <w:numPr>
        <w:numId w:val="6"/>
      </w:numPr>
    </w:pPr>
  </w:style>
  <w:style w:type="paragraph" w:styleId="ListNumber5">
    <w:name w:val="List Number 5"/>
    <w:basedOn w:val="List5"/>
    <w:rsid w:val="00175412"/>
    <w:pPr>
      <w:numPr>
        <w:numId w:val="7"/>
      </w:numPr>
    </w:pPr>
  </w:style>
  <w:style w:type="paragraph" w:styleId="BlockText">
    <w:name w:val="Block Text"/>
    <w:basedOn w:val="Normal"/>
    <w:rsid w:val="001754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4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412"/>
    <w:rPr>
      <w:sz w:val="16"/>
      <w:vertAlign w:val="superscript"/>
    </w:rPr>
  </w:style>
  <w:style w:type="character" w:customStyle="1" w:styleId="Symbols">
    <w:name w:val="Symbols"/>
    <w:basedOn w:val="DefaultParagraphFont"/>
    <w:rsid w:val="00175412"/>
    <w:rPr>
      <w:rFonts w:ascii="Symbol" w:hAnsi="Symbol"/>
    </w:rPr>
  </w:style>
  <w:style w:type="character" w:customStyle="1" w:styleId="MenuOptions">
    <w:name w:val="Menu Options"/>
    <w:basedOn w:val="DefaultParagraphFont"/>
    <w:rsid w:val="001754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412"/>
    <w:rPr>
      <w:b/>
    </w:rPr>
  </w:style>
  <w:style w:type="character" w:customStyle="1" w:styleId="Underlined">
    <w:name w:val="Underlined"/>
    <w:basedOn w:val="DefaultParagraphFont"/>
    <w:rsid w:val="00175412"/>
    <w:rPr>
      <w:u w:val="single"/>
    </w:rPr>
  </w:style>
  <w:style w:type="paragraph" w:customStyle="1" w:styleId="TableBodyTextRight">
    <w:name w:val="Table Body Text Right"/>
    <w:basedOn w:val="TableBodyText"/>
    <w:rsid w:val="001754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412"/>
    <w:rPr>
      <w:sz w:val="18"/>
    </w:rPr>
  </w:style>
  <w:style w:type="paragraph" w:customStyle="1" w:styleId="BodySmallRight">
    <w:name w:val="Body Small Right"/>
    <w:basedOn w:val="BodyTextRight"/>
    <w:rsid w:val="00175412"/>
    <w:rPr>
      <w:sz w:val="18"/>
      <w:szCs w:val="18"/>
    </w:rPr>
  </w:style>
  <w:style w:type="paragraph" w:customStyle="1" w:styleId="MarginEdition">
    <w:name w:val="Margin Edition"/>
    <w:basedOn w:val="MarginNote"/>
    <w:rsid w:val="001754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412"/>
    <w:rPr>
      <w:sz w:val="2"/>
      <w:szCs w:val="2"/>
    </w:rPr>
  </w:style>
  <w:style w:type="character" w:customStyle="1" w:styleId="Small">
    <w:name w:val="Small"/>
    <w:basedOn w:val="DefaultParagraphFont"/>
    <w:rsid w:val="00175412"/>
    <w:rPr>
      <w:sz w:val="16"/>
    </w:rPr>
  </w:style>
  <w:style w:type="paragraph" w:customStyle="1" w:styleId="WideTable">
    <w:name w:val="Wide Table"/>
    <w:basedOn w:val="Normal"/>
    <w:rsid w:val="001754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412"/>
  </w:style>
  <w:style w:type="paragraph" w:styleId="Quote">
    <w:name w:val="Quote"/>
    <w:basedOn w:val="Heading1"/>
    <w:link w:val="QuoteChar"/>
    <w:qFormat/>
    <w:rsid w:val="001754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4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412"/>
    <w:pPr>
      <w:pageBreakBefore/>
    </w:pPr>
  </w:style>
  <w:style w:type="paragraph" w:customStyle="1" w:styleId="Border">
    <w:name w:val="Border"/>
    <w:basedOn w:val="Normal"/>
    <w:qFormat/>
    <w:rsid w:val="001754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4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4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4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4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4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4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4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4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412"/>
    <w:rPr>
      <w:u w:val="single"/>
    </w:rPr>
  </w:style>
  <w:style w:type="character" w:customStyle="1" w:styleId="BoldandItalics">
    <w:name w:val="Bold and Italics"/>
    <w:qFormat/>
    <w:rsid w:val="00175412"/>
    <w:rPr>
      <w:b/>
      <w:i/>
      <w:u w:val="none"/>
    </w:rPr>
  </w:style>
  <w:style w:type="paragraph" w:styleId="BalloonText">
    <w:name w:val="Balloon Text"/>
    <w:basedOn w:val="Normal"/>
    <w:link w:val="BalloonTextChar"/>
    <w:rsid w:val="00175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4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4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4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4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4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412"/>
    <w:pPr>
      <w:spacing w:before="0" w:after="0"/>
    </w:pPr>
  </w:style>
  <w:style w:type="paragraph" w:customStyle="1" w:styleId="BodyTextBold">
    <w:name w:val="Body Text Bold"/>
    <w:basedOn w:val="BodyText"/>
    <w:qFormat/>
    <w:rsid w:val="00175412"/>
    <w:rPr>
      <w:b/>
    </w:rPr>
  </w:style>
  <w:style w:type="character" w:styleId="Hyperlink">
    <w:name w:val="Hyperlink"/>
    <w:basedOn w:val="DefaultParagraphFont"/>
    <w:uiPriority w:val="99"/>
    <w:unhideWhenUsed/>
    <w:rsid w:val="00FE3A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3080</Characters>
  <Application>Microsoft Office Word</Application>
  <DocSecurity>0</DocSecurity>
  <Lines>83</Lines>
  <Paragraphs>64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CPCCBC5001 Apply building codes and standards to the construction process for Type B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