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5B0" w:rsidP="007655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CPCCBC4032 Apply contract law to sales processes</w:t>
      </w:r>
      <w:r>
        <w:fldChar w:fldCharType="end"/>
      </w:r>
    </w:p>
    <w:p w:rsidR="007655B0" w:rsidP="007655B0">
      <w:pPr>
        <w:pStyle w:val="Version"/>
        <w:sectPr w:rsidSect="00402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21A4" w:rsidP="004021A4">
      <w:pPr>
        <w:pStyle w:val="SuperHeading"/>
      </w:pPr>
      <w:r w:rsidRPr="004021A4">
        <w:t>Assessment Requirements for CPCCBC4032 Apply contract law to sales processes</w:t>
      </w:r>
    </w:p>
    <w:p w:rsidR="00000000" w:rsidRPr="004021A4" w:rsidP="004021A4">
      <w:pPr>
        <w:pStyle w:val="Heading1"/>
      </w:pPr>
      <w:bookmarkStart w:id="1" w:name="O_1293080"/>
      <w:bookmarkEnd w:id="1"/>
      <w:r w:rsidRPr="004021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02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1A4">
            <w:pPr>
              <w:pStyle w:val="BodyText"/>
              <w:rPr>
                <w:lang w:val="en-NZ"/>
              </w:rPr>
            </w:pPr>
            <w:r w:rsidRPr="004021A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1A4">
            <w:pPr>
              <w:pStyle w:val="BodyText"/>
              <w:rPr>
                <w:lang w:val="en-NZ"/>
              </w:rPr>
            </w:pPr>
            <w:r w:rsidRPr="004021A4">
              <w:t>Updated reference to general construction induction training program.</w:t>
            </w:r>
          </w:p>
        </w:tc>
      </w:tr>
      <w:tr w:rsidTr="004021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21A4">
            <w:pPr>
              <w:pStyle w:val="BodyText"/>
              <w:rPr>
                <w:lang w:val="en-NZ"/>
              </w:rPr>
            </w:pPr>
            <w:r w:rsidRPr="004021A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21A4" w:rsidP="004021A4">
            <w:pPr>
              <w:pStyle w:val="BodyText"/>
            </w:pPr>
            <w:r w:rsidRPr="004021A4">
              <w:t>This version first released with CPC Construction, Plumbing and Services Training Package Release 5.0.</w:t>
            </w:r>
          </w:p>
          <w:p w:rsidR="00000000" w:rsidRPr="004021A4" w:rsidP="004021A4">
            <w:pPr>
              <w:pStyle w:val="BodyText"/>
            </w:pPr>
            <w:r w:rsidRPr="004021A4">
              <w:t>Supersedes and is equivalent to CPCCBC4032A Apply contract law to sales processes.  Updated to meet the Standards for Training Packages 2012.</w:t>
            </w:r>
          </w:p>
        </w:tc>
      </w:tr>
    </w:tbl>
    <w:p w:rsidR="00000000" w:rsidRPr="004021A4" w:rsidP="004021A4">
      <w:pPr>
        <w:pStyle w:val="BodyText"/>
      </w:pPr>
    </w:p>
    <w:p w:rsidR="00000000" w:rsidRPr="004021A4" w:rsidP="004021A4">
      <w:pPr>
        <w:pStyle w:val="AllowPageBreak"/>
      </w:pPr>
    </w:p>
    <w:p w:rsidR="00000000" w:rsidRPr="004021A4" w:rsidP="004021A4">
      <w:pPr>
        <w:pStyle w:val="Heading1"/>
      </w:pPr>
      <w:bookmarkStart w:id="2" w:name="O_1293079"/>
      <w:bookmarkEnd w:id="2"/>
      <w:r w:rsidRPr="004021A4">
        <w:t>Performance Evidence</w:t>
      </w:r>
    </w:p>
    <w:p w:rsidR="00000000" w:rsidRPr="004021A4" w:rsidP="007655B0">
      <w:pPr>
        <w:pStyle w:val="BodyText"/>
      </w:pPr>
      <w:r w:rsidRPr="004021A4">
        <w:t>To demonstrate competency, a candidate must meet the elements and performance criteria of this unit by applying contract law to the sales process for one building and construction project.</w:t>
      </w:r>
    </w:p>
    <w:p w:rsidR="00000000" w:rsidRPr="004021A4" w:rsidP="007655B0">
      <w:pPr>
        <w:pStyle w:val="BodyText"/>
      </w:pPr>
      <w:r w:rsidRPr="004021A4">
        <w:t>In doing this, the candidate must:</w:t>
      </w:r>
    </w:p>
    <w:p w:rsidR="00000000" w:rsidRPr="004021A4" w:rsidP="004021A4">
      <w:pPr>
        <w:pStyle w:val="ListBullet"/>
      </w:pPr>
      <w:r w:rsidRPr="004021A4">
        <w:t>select the correct contract for the building project</w:t>
      </w:r>
    </w:p>
    <w:p w:rsidR="00000000" w:rsidRPr="004021A4" w:rsidP="004021A4">
      <w:pPr>
        <w:pStyle w:val="ListBullet"/>
      </w:pPr>
      <w:r w:rsidRPr="004021A4">
        <w:t>select the appropriate clauses and conditions within the contract and explain the reasons and impacts to the client</w:t>
      </w:r>
    </w:p>
    <w:p w:rsidR="00000000" w:rsidRPr="004021A4" w:rsidP="004021A4">
      <w:pPr>
        <w:pStyle w:val="ListBullet"/>
      </w:pPr>
      <w:r w:rsidRPr="004021A4">
        <w:t xml:space="preserve">administer the contract to meet government legal and regulatory requirements </w:t>
      </w:r>
    </w:p>
    <w:p w:rsidR="00000000" w:rsidRPr="004021A4" w:rsidP="004021A4">
      <w:pPr>
        <w:pStyle w:val="ListBullet"/>
      </w:pPr>
      <w:r w:rsidRPr="004021A4">
        <w:t>follow organisational procedures to apply contract law to the sales process</w:t>
      </w:r>
    </w:p>
    <w:p w:rsidR="00000000" w:rsidRPr="004021A4" w:rsidP="004021A4">
      <w:pPr>
        <w:pStyle w:val="ListBullet"/>
      </w:pPr>
      <w:r w:rsidRPr="004021A4">
        <w:t>determine and explain to the client appropriate measures to be taken in the event of anomalies in rendering the contract</w:t>
      </w:r>
    </w:p>
    <w:p w:rsidR="00000000" w:rsidRPr="004021A4" w:rsidP="004021A4">
      <w:pPr>
        <w:pStyle w:val="ListBullet"/>
      </w:pPr>
      <w:r w:rsidRPr="004021A4">
        <w:t>communicate and finalise pre-contract agreements with clien</w:t>
      </w:r>
      <w:r w:rsidRPr="004021A4">
        <w:t>t.</w:t>
      </w:r>
    </w:p>
    <w:p w:rsidR="00000000" w:rsidRPr="004021A4" w:rsidP="004021A4">
      <w:pPr>
        <w:pStyle w:val="AllowPageBreak"/>
      </w:pPr>
    </w:p>
    <w:p w:rsidR="00000000" w:rsidRPr="004021A4" w:rsidP="004021A4">
      <w:pPr>
        <w:pStyle w:val="Heading1"/>
      </w:pPr>
      <w:bookmarkStart w:id="3" w:name="O_1293078"/>
      <w:bookmarkEnd w:id="3"/>
      <w:r w:rsidRPr="004021A4">
        <w:t>Knowledge Evidence</w:t>
      </w:r>
    </w:p>
    <w:p w:rsidR="00000000" w:rsidRPr="004021A4" w:rsidP="007655B0">
      <w:pPr>
        <w:pStyle w:val="BodyText"/>
      </w:pPr>
      <w:r w:rsidRPr="004021A4">
        <w:t>To be competent in this unit, a candidate must demonstrate knowledge of:</w:t>
      </w:r>
    </w:p>
    <w:p w:rsidR="00000000" w:rsidRPr="004021A4" w:rsidP="004021A4">
      <w:pPr>
        <w:pStyle w:val="ListBullet"/>
      </w:pPr>
      <w:r w:rsidRPr="004021A4">
        <w:t>contract types and the circumstances they cover</w:t>
      </w:r>
    </w:p>
    <w:p w:rsidR="00000000" w:rsidRPr="004021A4" w:rsidP="004021A4">
      <w:pPr>
        <w:pStyle w:val="ListBullet"/>
      </w:pPr>
      <w:r w:rsidRPr="004021A4">
        <w:t>contract law and related government legislation and regulations</w:t>
      </w:r>
    </w:p>
    <w:p w:rsidR="00000000" w:rsidRPr="004021A4" w:rsidP="004021A4">
      <w:pPr>
        <w:pStyle w:val="ListBullet"/>
      </w:pPr>
      <w:r w:rsidRPr="004021A4">
        <w:t>legal meanings of terms and c</w:t>
      </w:r>
      <w:r w:rsidRPr="004021A4">
        <w:t>lauses in building and construction contracts</w:t>
      </w:r>
    </w:p>
    <w:p w:rsidR="00000000" w:rsidRPr="004021A4" w:rsidP="004021A4">
      <w:pPr>
        <w:pStyle w:val="ListBullet"/>
      </w:pPr>
      <w:r w:rsidRPr="004021A4">
        <w:t>definitions and interpretations commonly applied to contracts</w:t>
      </w:r>
    </w:p>
    <w:p w:rsidR="00000000" w:rsidRPr="004021A4" w:rsidP="004021A4">
      <w:pPr>
        <w:pStyle w:val="ListBullet"/>
      </w:pPr>
      <w:r w:rsidRPr="004021A4">
        <w:t>definitions of building work</w:t>
      </w:r>
    </w:p>
    <w:p w:rsidR="00000000" w:rsidRPr="004021A4" w:rsidP="004021A4">
      <w:pPr>
        <w:pStyle w:val="ListBullet"/>
      </w:pPr>
      <w:r w:rsidRPr="004021A4">
        <w:t>pre-contract agreements:</w:t>
      </w:r>
    </w:p>
    <w:p w:rsidR="00000000" w:rsidRPr="004021A4" w:rsidP="004021A4">
      <w:pPr>
        <w:pStyle w:val="ListBullet2"/>
      </w:pPr>
      <w:r w:rsidRPr="004021A4">
        <w:t>offer and acceptance documentation</w:t>
      </w:r>
    </w:p>
    <w:p w:rsidR="00000000" w:rsidRPr="004021A4" w:rsidP="004021A4">
      <w:pPr>
        <w:pStyle w:val="ListBullet2"/>
      </w:pPr>
      <w:r w:rsidRPr="004021A4">
        <w:t>preliminary contracts</w:t>
      </w:r>
    </w:p>
    <w:p w:rsidR="00000000" w:rsidRPr="004021A4" w:rsidP="004021A4">
      <w:pPr>
        <w:pStyle w:val="ListBullet2"/>
      </w:pPr>
      <w:r w:rsidRPr="004021A4">
        <w:t>preparation of plan agreements</w:t>
      </w:r>
    </w:p>
    <w:p w:rsidR="00000000" w:rsidRPr="004021A4" w:rsidP="004021A4">
      <w:pPr>
        <w:pStyle w:val="ListBullet"/>
      </w:pPr>
      <w:r w:rsidRPr="004021A4">
        <w:t>clauses in construction contracts:</w:t>
      </w:r>
    </w:p>
    <w:p w:rsidR="00000000" w:rsidRPr="004021A4" w:rsidP="004021A4">
      <w:pPr>
        <w:pStyle w:val="ListBullet2"/>
      </w:pPr>
      <w:r w:rsidRPr="004021A4">
        <w:t>cost adjustments</w:t>
      </w:r>
    </w:p>
    <w:p w:rsidR="00000000" w:rsidRPr="004021A4" w:rsidP="004021A4">
      <w:pPr>
        <w:pStyle w:val="ListBullet2"/>
      </w:pPr>
      <w:r w:rsidRPr="004021A4">
        <w:t>extensions of time</w:t>
      </w:r>
    </w:p>
    <w:p w:rsidR="00000000" w:rsidRPr="004021A4" w:rsidP="004021A4">
      <w:pPr>
        <w:pStyle w:val="ListBullet2"/>
      </w:pPr>
      <w:r w:rsidRPr="004021A4">
        <w:t>offers and acceptances</w:t>
      </w:r>
    </w:p>
    <w:p w:rsidR="00000000" w:rsidRPr="004021A4" w:rsidP="004021A4">
      <w:pPr>
        <w:pStyle w:val="ListBullet2"/>
      </w:pPr>
      <w:r w:rsidRPr="004021A4">
        <w:t>payments</w:t>
      </w:r>
    </w:p>
    <w:p w:rsidR="00000000" w:rsidRPr="004021A4" w:rsidP="004021A4">
      <w:pPr>
        <w:pStyle w:val="ListBullet2"/>
      </w:pPr>
      <w:r w:rsidRPr="004021A4">
        <w:t>retention of moneys</w:t>
      </w:r>
    </w:p>
    <w:p w:rsidR="00000000" w:rsidRPr="004021A4" w:rsidP="004021A4">
      <w:pPr>
        <w:pStyle w:val="ListBullet2"/>
      </w:pPr>
      <w:r w:rsidRPr="004021A4">
        <w:t>scope of work</w:t>
      </w:r>
    </w:p>
    <w:p w:rsidR="00000000" w:rsidRPr="004021A4" w:rsidP="004021A4">
      <w:pPr>
        <w:pStyle w:val="ListBullet2"/>
      </w:pPr>
      <w:r w:rsidRPr="004021A4">
        <w:t>terms and representations</w:t>
      </w:r>
    </w:p>
    <w:p w:rsidR="00000000" w:rsidRPr="004021A4" w:rsidP="004021A4">
      <w:pPr>
        <w:pStyle w:val="ListBullet"/>
      </w:pPr>
      <w:r w:rsidRPr="004021A4">
        <w:t xml:space="preserve">pre-contract clauses: </w:t>
      </w:r>
    </w:p>
    <w:p w:rsidR="00000000" w:rsidRPr="004021A4" w:rsidP="004021A4">
      <w:pPr>
        <w:pStyle w:val="ListBullet2"/>
      </w:pPr>
      <w:r w:rsidRPr="004021A4">
        <w:t>conditions</w:t>
      </w:r>
    </w:p>
    <w:p w:rsidR="00000000" w:rsidRPr="004021A4" w:rsidP="004021A4">
      <w:pPr>
        <w:pStyle w:val="ListBullet2"/>
      </w:pPr>
      <w:r w:rsidRPr="004021A4">
        <w:t>scope of work</w:t>
      </w:r>
    </w:p>
    <w:p w:rsidR="00000000" w:rsidRPr="004021A4" w:rsidP="004021A4">
      <w:pPr>
        <w:pStyle w:val="ListBullet2"/>
      </w:pPr>
      <w:r w:rsidRPr="004021A4">
        <w:t>time for completion</w:t>
      </w:r>
    </w:p>
    <w:p w:rsidR="00000000" w:rsidRPr="004021A4" w:rsidP="004021A4">
      <w:pPr>
        <w:pStyle w:val="ListBullet"/>
      </w:pPr>
      <w:r w:rsidRPr="004021A4">
        <w:t>relationship between the organisation and its clients.</w:t>
      </w:r>
    </w:p>
    <w:p w:rsidR="00000000" w:rsidRPr="004021A4" w:rsidP="004021A4">
      <w:pPr>
        <w:pStyle w:val="AllowPageBreak"/>
      </w:pPr>
    </w:p>
    <w:p w:rsidR="00000000" w:rsidRPr="004021A4" w:rsidP="004021A4">
      <w:pPr>
        <w:pStyle w:val="Heading1"/>
      </w:pPr>
      <w:bookmarkStart w:id="4" w:name="O_1293077"/>
      <w:bookmarkEnd w:id="4"/>
      <w:r w:rsidRPr="004021A4">
        <w:t>Assessment Conditions</w:t>
      </w:r>
    </w:p>
    <w:p w:rsidR="00000000" w:rsidRPr="004021A4" w:rsidP="007655B0">
      <w:pPr>
        <w:pStyle w:val="BodyText"/>
      </w:pPr>
      <w:r w:rsidRPr="004021A4">
        <w:t xml:space="preserve">Assessors must meet the requirements for assessors contained in the Standards for Registered Training Organisations. </w:t>
      </w:r>
    </w:p>
    <w:p w:rsidR="00000000" w:rsidRPr="004021A4" w:rsidP="007655B0">
      <w:pPr>
        <w:pStyle w:val="BodyText"/>
      </w:pPr>
      <w:r w:rsidRPr="004021A4">
        <w:t>Assessment can be undertaken in the workpl</w:t>
      </w:r>
      <w:r w:rsidRPr="004021A4">
        <w:t xml:space="preserve">ace or in a simulated workplace environment. </w:t>
      </w:r>
    </w:p>
    <w:p w:rsidR="00000000" w:rsidRPr="004021A4" w:rsidP="007655B0">
      <w:pPr>
        <w:pStyle w:val="BodyText"/>
      </w:pPr>
      <w:r w:rsidRPr="004021A4">
        <w:t>A simulated environment is one that realistically replicates workplace conditions, materials and equipment, interactions with others and workplace irregularities, and which meets industry standards for safety a</w:t>
      </w:r>
      <w:r w:rsidRPr="004021A4">
        <w:t>nd environmental practices.</w:t>
      </w:r>
    </w:p>
    <w:p w:rsidR="00000000" w:rsidRPr="004021A4" w:rsidP="007655B0">
      <w:pPr>
        <w:pStyle w:val="BodyText"/>
      </w:pPr>
      <w:r w:rsidRPr="004021A4">
        <w:t>Candidates must have access to:</w:t>
      </w:r>
    </w:p>
    <w:p w:rsidR="00000000" w:rsidRPr="004021A4" w:rsidP="004021A4">
      <w:pPr>
        <w:pStyle w:val="ListBullet"/>
      </w:pPr>
      <w:r w:rsidRPr="004021A4">
        <w:t>variety of construction contracts</w:t>
      </w:r>
    </w:p>
    <w:p w:rsidR="00000000" w:rsidRPr="004021A4" w:rsidP="004021A4">
      <w:pPr>
        <w:pStyle w:val="ListBullet"/>
      </w:pPr>
      <w:r w:rsidRPr="004021A4">
        <w:t>government contract law legislation and regulation</w:t>
      </w:r>
    </w:p>
    <w:p w:rsidR="00000000" w:rsidRPr="004021A4" w:rsidP="004021A4">
      <w:pPr>
        <w:pStyle w:val="ListBullet"/>
      </w:pPr>
      <w:r w:rsidRPr="004021A4">
        <w:t xml:space="preserve">organisational policies, procedures and other quality documentation to undertake the performance criteria and </w:t>
      </w:r>
      <w:r w:rsidRPr="004021A4">
        <w:t>assessment requirements</w:t>
      </w:r>
    </w:p>
    <w:p w:rsidR="00000000" w:rsidRPr="004021A4" w:rsidP="004021A4">
      <w:pPr>
        <w:pStyle w:val="ListBullet"/>
      </w:pPr>
      <w:r w:rsidRPr="004021A4">
        <w:t>digital technology to access information and software to process and save contract documentation</w:t>
      </w:r>
    </w:p>
    <w:p w:rsidR="00000000" w:rsidRPr="004021A4" w:rsidP="004021A4">
      <w:pPr>
        <w:pStyle w:val="ListBullet"/>
      </w:pPr>
      <w:r w:rsidRPr="004021A4">
        <w:t>relevant building industry and local authority codes and standards</w:t>
      </w:r>
    </w:p>
    <w:p w:rsidR="00000000" w:rsidRPr="004021A4" w:rsidP="004021A4">
      <w:pPr>
        <w:pStyle w:val="ListBullet"/>
      </w:pPr>
      <w:r w:rsidRPr="004021A4">
        <w:t>site plans and project contracts</w:t>
      </w:r>
    </w:p>
    <w:p w:rsidR="00000000" w:rsidRPr="004021A4" w:rsidP="004021A4">
      <w:pPr>
        <w:pStyle w:val="AllowPageBreak"/>
      </w:pPr>
    </w:p>
    <w:p w:rsidR="00000000" w:rsidRPr="004021A4" w:rsidP="004021A4">
      <w:pPr>
        <w:pStyle w:val="Heading1"/>
      </w:pPr>
      <w:bookmarkStart w:id="5" w:name="O_1293090"/>
      <w:bookmarkEnd w:id="5"/>
      <w:r w:rsidRPr="004021A4">
        <w:t>Links</w:t>
      </w:r>
    </w:p>
    <w:p w:rsidR="00000000" w:rsidRPr="004021A4" w:rsidP="007655B0">
      <w:pPr>
        <w:pStyle w:val="BodyText"/>
      </w:pPr>
      <w:r w:rsidRPr="004021A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2D1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021A4" w:rsidP="004021A4"/>
    <w:sectPr w:rsidSect="004021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A4" w:rsidRPr="007655B0" w:rsidP="007655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5B0" w:rsidP="00402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55B0" w:rsidP="00402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655B0" w:rsidP="00402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5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21A4" w:rsidRPr="007655B0" w:rsidP="007655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5B0" w:rsidRPr="002D2AF8" w:rsidP="00402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CPCCBC4032 Apply contract law to sales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655B0" w:rsidP="00402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44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FAD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C07F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2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2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2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2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2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2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2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2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2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2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21A4"/>
  </w:style>
  <w:style w:type="character" w:customStyle="1" w:styleId="Heading1Char">
    <w:name w:val="Heading 1 Char"/>
    <w:basedOn w:val="DefaultParagraphFont"/>
    <w:link w:val="Heading1"/>
    <w:rsid w:val="00402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2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2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21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21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2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2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2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2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2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2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2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2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2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2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2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2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2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2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2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2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2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2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2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2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2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2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21A4"/>
    <w:rPr>
      <w:b/>
      <w:spacing w:val="0"/>
    </w:rPr>
  </w:style>
  <w:style w:type="paragraph" w:customStyle="1" w:styleId="SuperTitle">
    <w:name w:val="SuperTitle"/>
    <w:basedOn w:val="Title"/>
    <w:rsid w:val="00402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2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2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2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2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2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2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2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2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2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2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21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21A4"/>
    <w:rPr>
      <w:i/>
    </w:rPr>
  </w:style>
  <w:style w:type="paragraph" w:styleId="Caption">
    <w:name w:val="caption"/>
    <w:basedOn w:val="BodyText"/>
    <w:next w:val="Normal"/>
    <w:qFormat/>
    <w:rsid w:val="00402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2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2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21A4"/>
  </w:style>
  <w:style w:type="paragraph" w:styleId="TableofFigures">
    <w:name w:val="table of figures"/>
    <w:basedOn w:val="Normal"/>
    <w:next w:val="Normal"/>
    <w:semiHidden/>
    <w:rsid w:val="00402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21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21A4"/>
    <w:rPr>
      <w:rFonts w:ascii="Wingdings" w:hAnsi="Wingdings"/>
    </w:rPr>
  </w:style>
  <w:style w:type="paragraph" w:customStyle="1" w:styleId="TableHeading">
    <w:name w:val="Table Heading"/>
    <w:basedOn w:val="HeadingBase"/>
    <w:rsid w:val="00402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21A4"/>
    <w:rPr>
      <w:color w:val="0033CC"/>
      <w:u w:val="none"/>
    </w:rPr>
  </w:style>
  <w:style w:type="paragraph" w:customStyle="1" w:styleId="BodyTextRight">
    <w:name w:val="Body Text Right"/>
    <w:basedOn w:val="BodyText"/>
    <w:rsid w:val="00402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2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21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2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2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2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21A4"/>
    <w:rPr>
      <w:sz w:val="32"/>
    </w:rPr>
  </w:style>
  <w:style w:type="paragraph" w:customStyle="1" w:styleId="HeadingProcedure">
    <w:name w:val="Heading Procedure"/>
    <w:basedOn w:val="HeadingBase"/>
    <w:next w:val="Normal"/>
    <w:rsid w:val="00402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21A4"/>
    <w:pPr>
      <w:spacing w:before="60" w:after="60"/>
    </w:pPr>
  </w:style>
  <w:style w:type="paragraph" w:styleId="ListContinue">
    <w:name w:val="List Continue"/>
    <w:basedOn w:val="List"/>
    <w:rsid w:val="004021A4"/>
    <w:pPr>
      <w:ind w:firstLine="0"/>
    </w:pPr>
  </w:style>
  <w:style w:type="paragraph" w:customStyle="1" w:styleId="ListNote">
    <w:name w:val="List Note"/>
    <w:basedOn w:val="List"/>
    <w:rsid w:val="00402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2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2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21A4"/>
    <w:rPr>
      <w:rFonts w:ascii="Courier New" w:hAnsi="Courier New"/>
    </w:rPr>
  </w:style>
  <w:style w:type="paragraph" w:customStyle="1" w:styleId="NoteBullet">
    <w:name w:val="Note Bullet"/>
    <w:basedOn w:val="Note"/>
    <w:rsid w:val="00402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2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2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2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21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2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2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21A4"/>
    <w:rPr>
      <w:b/>
      <w:smallCaps/>
    </w:rPr>
  </w:style>
  <w:style w:type="paragraph" w:customStyle="1" w:styleId="TableListNumber">
    <w:name w:val="Table List Number"/>
    <w:basedOn w:val="ListNumber"/>
    <w:rsid w:val="00402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2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21A4"/>
    <w:pPr>
      <w:numPr>
        <w:numId w:val="9"/>
      </w:numPr>
    </w:pPr>
  </w:style>
  <w:style w:type="paragraph" w:customStyle="1" w:styleId="ListAlpha2">
    <w:name w:val="List Alpha 2"/>
    <w:basedOn w:val="List2"/>
    <w:rsid w:val="004021A4"/>
    <w:pPr>
      <w:numPr>
        <w:numId w:val="8"/>
      </w:numPr>
    </w:pPr>
  </w:style>
  <w:style w:type="paragraph" w:styleId="List2">
    <w:name w:val="List 2"/>
    <w:basedOn w:val="BodyText"/>
    <w:rsid w:val="00402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2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2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2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21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21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21A4"/>
    <w:pPr>
      <w:numPr>
        <w:numId w:val="4"/>
      </w:numPr>
    </w:pPr>
  </w:style>
  <w:style w:type="paragraph" w:styleId="ListContinue2">
    <w:name w:val="List Continue 2"/>
    <w:basedOn w:val="List2"/>
    <w:rsid w:val="004021A4"/>
    <w:pPr>
      <w:ind w:firstLine="0"/>
    </w:pPr>
  </w:style>
  <w:style w:type="paragraph" w:styleId="ListContinue3">
    <w:name w:val="List Continue 3"/>
    <w:basedOn w:val="List3"/>
    <w:rsid w:val="004021A4"/>
    <w:pPr>
      <w:ind w:left="1021" w:firstLine="0"/>
    </w:pPr>
  </w:style>
  <w:style w:type="paragraph" w:styleId="ListContinue4">
    <w:name w:val="List Continue 4"/>
    <w:basedOn w:val="List4"/>
    <w:rsid w:val="004021A4"/>
    <w:pPr>
      <w:ind w:firstLine="0"/>
    </w:pPr>
  </w:style>
  <w:style w:type="paragraph" w:styleId="ListContinue5">
    <w:name w:val="List Continue 5"/>
    <w:basedOn w:val="List5"/>
    <w:rsid w:val="004021A4"/>
    <w:pPr>
      <w:ind w:firstLine="0"/>
    </w:pPr>
  </w:style>
  <w:style w:type="paragraph" w:styleId="ListNumber3">
    <w:name w:val="List Number 3"/>
    <w:basedOn w:val="List3"/>
    <w:rsid w:val="004021A4"/>
    <w:pPr>
      <w:numPr>
        <w:numId w:val="5"/>
      </w:numPr>
    </w:pPr>
  </w:style>
  <w:style w:type="paragraph" w:styleId="ListNumber4">
    <w:name w:val="List Number 4"/>
    <w:basedOn w:val="List4"/>
    <w:rsid w:val="004021A4"/>
    <w:pPr>
      <w:numPr>
        <w:numId w:val="6"/>
      </w:numPr>
    </w:pPr>
  </w:style>
  <w:style w:type="paragraph" w:styleId="ListNumber5">
    <w:name w:val="List Number 5"/>
    <w:basedOn w:val="List5"/>
    <w:rsid w:val="004021A4"/>
    <w:pPr>
      <w:numPr>
        <w:numId w:val="7"/>
      </w:numPr>
    </w:pPr>
  </w:style>
  <w:style w:type="paragraph" w:styleId="BlockText">
    <w:name w:val="Block Text"/>
    <w:basedOn w:val="Normal"/>
    <w:rsid w:val="00402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2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21A4"/>
    <w:rPr>
      <w:sz w:val="16"/>
      <w:vertAlign w:val="superscript"/>
    </w:rPr>
  </w:style>
  <w:style w:type="character" w:customStyle="1" w:styleId="Symbols">
    <w:name w:val="Symbols"/>
    <w:basedOn w:val="DefaultParagraphFont"/>
    <w:rsid w:val="004021A4"/>
    <w:rPr>
      <w:rFonts w:ascii="Symbol" w:hAnsi="Symbol"/>
    </w:rPr>
  </w:style>
  <w:style w:type="character" w:customStyle="1" w:styleId="MenuOptions">
    <w:name w:val="Menu Options"/>
    <w:basedOn w:val="DefaultParagraphFont"/>
    <w:rsid w:val="00402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21A4"/>
    <w:rPr>
      <w:b/>
    </w:rPr>
  </w:style>
  <w:style w:type="character" w:customStyle="1" w:styleId="Underlined">
    <w:name w:val="Underlined"/>
    <w:basedOn w:val="DefaultParagraphFont"/>
    <w:rsid w:val="004021A4"/>
    <w:rPr>
      <w:u w:val="single"/>
    </w:rPr>
  </w:style>
  <w:style w:type="paragraph" w:customStyle="1" w:styleId="TableBodyTextRight">
    <w:name w:val="Table Body Text Right"/>
    <w:basedOn w:val="TableBodyText"/>
    <w:rsid w:val="00402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21A4"/>
    <w:rPr>
      <w:sz w:val="18"/>
    </w:rPr>
  </w:style>
  <w:style w:type="paragraph" w:customStyle="1" w:styleId="BodySmallRight">
    <w:name w:val="Body Small Right"/>
    <w:basedOn w:val="BodyTextRight"/>
    <w:rsid w:val="004021A4"/>
    <w:rPr>
      <w:sz w:val="18"/>
      <w:szCs w:val="18"/>
    </w:rPr>
  </w:style>
  <w:style w:type="paragraph" w:customStyle="1" w:styleId="MarginEdition">
    <w:name w:val="Margin Edition"/>
    <w:basedOn w:val="MarginNote"/>
    <w:rsid w:val="00402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21A4"/>
    <w:rPr>
      <w:sz w:val="2"/>
      <w:szCs w:val="2"/>
    </w:rPr>
  </w:style>
  <w:style w:type="character" w:customStyle="1" w:styleId="Small">
    <w:name w:val="Small"/>
    <w:basedOn w:val="DefaultParagraphFont"/>
    <w:rsid w:val="004021A4"/>
    <w:rPr>
      <w:sz w:val="16"/>
    </w:rPr>
  </w:style>
  <w:style w:type="paragraph" w:customStyle="1" w:styleId="WideTable">
    <w:name w:val="Wide Table"/>
    <w:basedOn w:val="Normal"/>
    <w:rsid w:val="00402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21A4"/>
  </w:style>
  <w:style w:type="paragraph" w:styleId="Quote">
    <w:name w:val="Quote"/>
    <w:basedOn w:val="Heading1"/>
    <w:link w:val="QuoteChar"/>
    <w:qFormat/>
    <w:rsid w:val="00402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2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21A4"/>
    <w:pPr>
      <w:pageBreakBefore/>
    </w:pPr>
  </w:style>
  <w:style w:type="paragraph" w:customStyle="1" w:styleId="Border">
    <w:name w:val="Border"/>
    <w:basedOn w:val="Normal"/>
    <w:qFormat/>
    <w:rsid w:val="00402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2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2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2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2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2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2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21A4"/>
    <w:rPr>
      <w:u w:val="single"/>
    </w:rPr>
  </w:style>
  <w:style w:type="character" w:customStyle="1" w:styleId="BoldandItalics">
    <w:name w:val="Bold and Italics"/>
    <w:qFormat/>
    <w:rsid w:val="004021A4"/>
    <w:rPr>
      <w:b/>
      <w:i/>
      <w:u w:val="none"/>
    </w:rPr>
  </w:style>
  <w:style w:type="paragraph" w:styleId="BalloonText">
    <w:name w:val="Balloon Text"/>
    <w:basedOn w:val="Normal"/>
    <w:link w:val="BalloonTextChar"/>
    <w:rsid w:val="00402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2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2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2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2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2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21A4"/>
    <w:pPr>
      <w:spacing w:before="0" w:after="0"/>
    </w:pPr>
  </w:style>
  <w:style w:type="paragraph" w:customStyle="1" w:styleId="BodyTextBold">
    <w:name w:val="Body Text Bold"/>
    <w:basedOn w:val="BodyText"/>
    <w:qFormat/>
    <w:rsid w:val="004021A4"/>
    <w:rPr>
      <w:b/>
    </w:rPr>
  </w:style>
  <w:style w:type="character" w:styleId="Hyperlink">
    <w:name w:val="Hyperlink"/>
    <w:basedOn w:val="DefaultParagraphFont"/>
    <w:uiPriority w:val="99"/>
    <w:unhideWhenUsed/>
    <w:rsid w:val="007655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433</Words>
  <Characters>2872</Characters>
  <Application>Microsoft Office Word</Application>
  <DocSecurity>0</DocSecurity>
  <Lines>79</Lines>
  <Paragraphs>66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CPCCBC4032 Apply contract law to sales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2024-12-24T01:14:00Z</dcterms:created>
  <dcterms:modified xsi:type="dcterms:W3CDTF">2024-12-24T01:14:00Z</dcterms:modified>
</cp:coreProperties>
</file>