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0AD" w:rsidP="00DA0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CPCCBC4030 Analyse and communicate industry information</w:t>
      </w:r>
      <w:r>
        <w:fldChar w:fldCharType="end"/>
      </w:r>
    </w:p>
    <w:p w:rsidR="00DA00AD" w:rsidP="00DA00AD">
      <w:pPr>
        <w:pStyle w:val="Version"/>
        <w:sectPr w:rsidSect="008A6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7AD" w:rsidP="008A67AD">
      <w:pPr>
        <w:pStyle w:val="SuperHeading"/>
      </w:pPr>
      <w:r w:rsidRPr="008A67AD">
        <w:t>Assessment Requirements for CPCCBC4030 Analyse and communicate industry information</w:t>
      </w:r>
    </w:p>
    <w:p w:rsidR="00000000" w:rsidRPr="008A67AD" w:rsidP="008A67AD">
      <w:pPr>
        <w:pStyle w:val="Heading1"/>
      </w:pPr>
      <w:bookmarkStart w:id="1" w:name="O_1051031"/>
      <w:bookmarkEnd w:id="1"/>
      <w:r w:rsidRPr="008A67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A6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7AD">
            <w:pPr>
              <w:pStyle w:val="BodyText"/>
              <w:rPr>
                <w:lang w:val="en-NZ"/>
              </w:rPr>
            </w:pPr>
            <w:r w:rsidRPr="008A67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7AD" w:rsidP="008A67AD">
            <w:pPr>
              <w:pStyle w:val="BodyText"/>
            </w:pPr>
            <w:r w:rsidRPr="008A67AD">
              <w:t>This version first released with CPC Construction, Plumbing and Services Training Package Release 5.0.</w:t>
            </w:r>
          </w:p>
          <w:p w:rsidR="00000000" w:rsidRPr="008A67AD" w:rsidP="008A67AD">
            <w:pPr>
              <w:pStyle w:val="BodyText"/>
            </w:pPr>
            <w:r w:rsidRPr="008A67AD">
              <w:t>Supersedes and equivalent to CPCCBC4030A Analyse and communicate industry information.  Updated to meet the Standards for Training Packages 2012.</w:t>
            </w:r>
          </w:p>
        </w:tc>
      </w:tr>
    </w:tbl>
    <w:p w:rsidR="00000000" w:rsidRPr="008A67AD" w:rsidP="008A67AD">
      <w:pPr>
        <w:pStyle w:val="BodyText"/>
      </w:pPr>
    </w:p>
    <w:p w:rsidR="00000000" w:rsidRPr="008A67AD" w:rsidP="008A67AD">
      <w:pPr>
        <w:pStyle w:val="AllowPageBreak"/>
      </w:pPr>
    </w:p>
    <w:p w:rsidR="00000000" w:rsidRPr="008A67AD" w:rsidP="008A67AD">
      <w:pPr>
        <w:pStyle w:val="Heading1"/>
      </w:pPr>
      <w:bookmarkStart w:id="2" w:name="O_1051034"/>
      <w:bookmarkEnd w:id="2"/>
      <w:r w:rsidRPr="008A67AD">
        <w:t>Performance Evidence</w:t>
      </w:r>
    </w:p>
    <w:p w:rsidR="00000000" w:rsidRPr="008A67AD" w:rsidP="00DA00AD">
      <w:pPr>
        <w:pStyle w:val="BodyText"/>
      </w:pPr>
      <w:r w:rsidRPr="008A67AD">
        <w:t>To demonstrate competency, a candidate must meet the elements and pe</w:t>
      </w:r>
      <w:r w:rsidRPr="008A67AD">
        <w:t xml:space="preserve">rformance criteria of this unit by researching, preparing and submitting a current market analysis for the local region. </w:t>
      </w:r>
    </w:p>
    <w:p w:rsidR="00000000" w:rsidRPr="008A67AD" w:rsidP="00DA00AD">
      <w:pPr>
        <w:pStyle w:val="BodyText"/>
      </w:pPr>
      <w:r w:rsidRPr="008A67AD">
        <w:t>In doing this, the candidate must:</w:t>
      </w:r>
    </w:p>
    <w:p w:rsidR="00000000" w:rsidRPr="008A67AD" w:rsidP="008A67AD">
      <w:pPr>
        <w:pStyle w:val="ListBullet"/>
      </w:pPr>
      <w:r w:rsidRPr="008A67AD">
        <w:t>outline the external and internal operating environment of the building and construction industry</w:t>
      </w:r>
    </w:p>
    <w:p w:rsidR="00000000" w:rsidRPr="008A67AD" w:rsidP="008A67AD">
      <w:pPr>
        <w:pStyle w:val="ListBullet"/>
      </w:pPr>
      <w:r w:rsidRPr="008A67AD">
        <w:t>identify and evaluate economic and social factors impacting the local area, and perceptions of potential clients</w:t>
      </w:r>
    </w:p>
    <w:p w:rsidR="00000000" w:rsidRPr="008A67AD" w:rsidP="008A67AD">
      <w:pPr>
        <w:pStyle w:val="ListBullet"/>
      </w:pPr>
      <w:r w:rsidRPr="008A67AD">
        <w:t xml:space="preserve">analyse the strengths and weaknesses of competing investment markets and opportunities </w:t>
      </w:r>
    </w:p>
    <w:p w:rsidR="00000000" w:rsidRPr="008A67AD" w:rsidP="008A67AD">
      <w:pPr>
        <w:pStyle w:val="ListBullet"/>
      </w:pPr>
      <w:r w:rsidRPr="008A67AD">
        <w:t>provide detailed information to effectively meet client requirements</w:t>
      </w:r>
    </w:p>
    <w:p w:rsidR="00000000" w:rsidRPr="008A67AD" w:rsidP="008A67AD">
      <w:pPr>
        <w:pStyle w:val="ListBullet"/>
      </w:pPr>
      <w:r w:rsidRPr="008A67AD">
        <w:t>adhere to organisational ethical and probity standards.</w:t>
      </w:r>
    </w:p>
    <w:p w:rsidR="00000000" w:rsidRPr="008A67AD" w:rsidP="008A67AD">
      <w:pPr>
        <w:pStyle w:val="AllowPageBreak"/>
      </w:pPr>
    </w:p>
    <w:p w:rsidR="00000000" w:rsidRPr="008A67AD" w:rsidP="008A67AD">
      <w:pPr>
        <w:pStyle w:val="Heading1"/>
      </w:pPr>
      <w:bookmarkStart w:id="3" w:name="O_1051033"/>
      <w:bookmarkEnd w:id="3"/>
      <w:r w:rsidRPr="008A67AD">
        <w:t>Knowledge Evidence</w:t>
      </w:r>
    </w:p>
    <w:p w:rsidR="00000000" w:rsidRPr="008A67AD" w:rsidP="00DA00AD">
      <w:pPr>
        <w:pStyle w:val="BodyText"/>
      </w:pPr>
      <w:r w:rsidRPr="008A67AD">
        <w:t>To be competent in this unit, a candidate must demonstrate knowledge of:</w:t>
      </w:r>
    </w:p>
    <w:p w:rsidR="00000000" w:rsidRPr="008A67AD" w:rsidP="008A67AD">
      <w:pPr>
        <w:pStyle w:val="ListBullet"/>
      </w:pPr>
      <w:r w:rsidRPr="008A67AD">
        <w:t xml:space="preserve">characteristics of </w:t>
      </w:r>
      <w:r w:rsidRPr="008A67AD">
        <w:t>the marketplace which influence an individual’s decision to invest in a building:</w:t>
      </w:r>
    </w:p>
    <w:p w:rsidR="00000000" w:rsidRPr="008A67AD" w:rsidP="008A67AD">
      <w:pPr>
        <w:pStyle w:val="ListBullet2"/>
      </w:pPr>
      <w:r w:rsidRPr="008A67AD">
        <w:t>interest rate movements</w:t>
      </w:r>
    </w:p>
    <w:p w:rsidR="00000000" w:rsidRPr="008A67AD" w:rsidP="008A67AD">
      <w:pPr>
        <w:pStyle w:val="ListBullet2"/>
      </w:pPr>
      <w:r w:rsidRPr="008A67AD">
        <w:t>perceptions about the investment value of the completed property</w:t>
      </w:r>
    </w:p>
    <w:p w:rsidR="00000000" w:rsidRPr="008A67AD" w:rsidP="008A67AD">
      <w:pPr>
        <w:pStyle w:val="ListBullet2"/>
      </w:pPr>
      <w:r w:rsidRPr="008A67AD">
        <w:t>perceptions about the resale value of the property</w:t>
      </w:r>
    </w:p>
    <w:p w:rsidR="00000000" w:rsidRPr="008A67AD" w:rsidP="008A67AD">
      <w:pPr>
        <w:pStyle w:val="ListBullet2"/>
      </w:pPr>
      <w:r w:rsidRPr="008A67AD">
        <w:t>perceptions about the value of th</w:t>
      </w:r>
      <w:r w:rsidRPr="008A67AD">
        <w:t>e currency and possible movements</w:t>
      </w:r>
    </w:p>
    <w:p w:rsidR="00000000" w:rsidRPr="008A67AD" w:rsidP="008A67AD">
      <w:pPr>
        <w:pStyle w:val="ListBullet2"/>
      </w:pPr>
      <w:r w:rsidRPr="008A67AD">
        <w:t>speculative ambitions</w:t>
      </w:r>
    </w:p>
    <w:p w:rsidR="00000000" w:rsidRPr="008A67AD" w:rsidP="008A67AD">
      <w:pPr>
        <w:pStyle w:val="ListBullet"/>
      </w:pPr>
      <w:r w:rsidRPr="008A67AD">
        <w:t>economic factors, circumstances and seasonal factors that influence the volume of housing sales:</w:t>
      </w:r>
    </w:p>
    <w:p w:rsidR="00000000" w:rsidRPr="008A67AD" w:rsidP="008A67AD">
      <w:pPr>
        <w:pStyle w:val="ListBullet2"/>
      </w:pPr>
      <w:r w:rsidRPr="008A67AD">
        <w:t>level of economic activity</w:t>
      </w:r>
    </w:p>
    <w:p w:rsidR="00000000" w:rsidRPr="008A67AD" w:rsidP="008A67AD">
      <w:pPr>
        <w:pStyle w:val="ListBullet2"/>
      </w:pPr>
      <w:r w:rsidRPr="008A67AD">
        <w:t>availability of finance</w:t>
      </w:r>
    </w:p>
    <w:p w:rsidR="00000000" w:rsidRPr="008A67AD" w:rsidP="008A67AD">
      <w:pPr>
        <w:pStyle w:val="ListBullet2"/>
      </w:pPr>
      <w:r w:rsidRPr="008A67AD">
        <w:t>current interest rates</w:t>
      </w:r>
    </w:p>
    <w:p w:rsidR="00000000" w:rsidRPr="008A67AD" w:rsidP="008A67AD">
      <w:pPr>
        <w:pStyle w:val="ListBullet2"/>
      </w:pPr>
      <w:r w:rsidRPr="008A67AD">
        <w:t>competition for finance</w:t>
      </w:r>
    </w:p>
    <w:p w:rsidR="00000000" w:rsidRPr="008A67AD" w:rsidP="008A67AD">
      <w:pPr>
        <w:pStyle w:val="ListBullet2"/>
      </w:pPr>
      <w:r w:rsidRPr="008A67AD">
        <w:t>share market</w:t>
      </w:r>
    </w:p>
    <w:p w:rsidR="00000000" w:rsidRPr="008A67AD" w:rsidP="008A67AD">
      <w:pPr>
        <w:pStyle w:val="ListBullet"/>
      </w:pPr>
      <w:r w:rsidRPr="008A67AD">
        <w:t>effects of investments for rental properties</w:t>
      </w:r>
    </w:p>
    <w:p w:rsidR="00000000" w:rsidRPr="008A67AD" w:rsidP="008A67AD">
      <w:pPr>
        <w:pStyle w:val="ListBullet"/>
      </w:pPr>
      <w:r w:rsidRPr="008A67AD">
        <w:t>investor’s personal perceptions:</w:t>
      </w:r>
    </w:p>
    <w:p w:rsidR="00000000" w:rsidRPr="008A67AD" w:rsidP="008A67AD">
      <w:pPr>
        <w:pStyle w:val="ListBullet2"/>
      </w:pPr>
      <w:r w:rsidRPr="008A67AD">
        <w:t>about the investment value of the completed property</w:t>
      </w:r>
    </w:p>
    <w:p w:rsidR="00000000" w:rsidRPr="008A67AD" w:rsidP="008A67AD">
      <w:pPr>
        <w:pStyle w:val="ListBullet2"/>
      </w:pPr>
      <w:r w:rsidRPr="008A67AD">
        <w:t>about the resale value of the property</w:t>
      </w:r>
    </w:p>
    <w:p w:rsidR="00000000" w:rsidRPr="008A67AD" w:rsidP="008A67AD">
      <w:pPr>
        <w:pStyle w:val="ListBullet2"/>
      </w:pPr>
      <w:r w:rsidRPr="008A67AD">
        <w:t>about the value of the currency and possible movements</w:t>
      </w:r>
    </w:p>
    <w:p w:rsidR="00000000" w:rsidRPr="008A67AD" w:rsidP="008A67AD">
      <w:pPr>
        <w:pStyle w:val="ListBullet2"/>
      </w:pPr>
      <w:r w:rsidRPr="008A67AD">
        <w:t>of potential int</w:t>
      </w:r>
      <w:r w:rsidRPr="008A67AD">
        <w:t>erest rate movements</w:t>
      </w:r>
    </w:p>
    <w:p w:rsidR="00000000" w:rsidRPr="008A67AD" w:rsidP="008A67AD">
      <w:pPr>
        <w:pStyle w:val="ListBullet2"/>
      </w:pPr>
      <w:r w:rsidRPr="008A67AD">
        <w:t>speculative ambitions</w:t>
      </w:r>
    </w:p>
    <w:p w:rsidR="00000000" w:rsidRPr="008A67AD" w:rsidP="008A67AD">
      <w:pPr>
        <w:pStyle w:val="ListBullet"/>
      </w:pPr>
      <w:r w:rsidRPr="008A67AD">
        <w:t>influences effecting the capacity to meet client requirements:</w:t>
      </w:r>
    </w:p>
    <w:p w:rsidR="00000000" w:rsidRPr="008A67AD" w:rsidP="008A67AD">
      <w:pPr>
        <w:pStyle w:val="ListBullet2"/>
      </w:pPr>
      <w:r w:rsidRPr="008A67AD">
        <w:t>availability of labour and materials</w:t>
      </w:r>
    </w:p>
    <w:p w:rsidR="00000000" w:rsidRPr="008A67AD" w:rsidP="008A67AD">
      <w:pPr>
        <w:pStyle w:val="ListBullet2"/>
      </w:pPr>
      <w:r w:rsidRPr="008A67AD">
        <w:t>current financial situation</w:t>
      </w:r>
    </w:p>
    <w:p w:rsidR="00000000" w:rsidRPr="008A67AD" w:rsidP="008A67AD">
      <w:pPr>
        <w:pStyle w:val="ListBullet2"/>
      </w:pPr>
      <w:r w:rsidRPr="008A67AD">
        <w:t>current order levels</w:t>
      </w:r>
    </w:p>
    <w:p w:rsidR="00000000" w:rsidRPr="008A67AD" w:rsidP="008A67AD">
      <w:pPr>
        <w:pStyle w:val="ListBullet2"/>
      </w:pPr>
      <w:r w:rsidRPr="008A67AD">
        <w:t>projects already committed</w:t>
      </w:r>
    </w:p>
    <w:p w:rsidR="00000000" w:rsidRPr="008A67AD" w:rsidP="008A67AD">
      <w:pPr>
        <w:pStyle w:val="ListBullet"/>
      </w:pPr>
      <w:r w:rsidRPr="008A67AD">
        <w:t>industry market segments and product range:</w:t>
      </w:r>
    </w:p>
    <w:p w:rsidR="00000000" w:rsidRPr="008A67AD" w:rsidP="008A67AD">
      <w:pPr>
        <w:pStyle w:val="ListBullet2"/>
      </w:pPr>
      <w:r w:rsidRPr="008A67AD">
        <w:t>apartments</w:t>
      </w:r>
    </w:p>
    <w:p w:rsidR="00000000" w:rsidRPr="008A67AD" w:rsidP="008A67AD">
      <w:pPr>
        <w:pStyle w:val="ListBullet2"/>
      </w:pPr>
      <w:r w:rsidRPr="008A67AD">
        <w:t>duplexes and triplexes</w:t>
      </w:r>
    </w:p>
    <w:p w:rsidR="00000000" w:rsidRPr="008A67AD" w:rsidP="008A67AD">
      <w:pPr>
        <w:pStyle w:val="ListBullet2"/>
      </w:pPr>
      <w:r w:rsidRPr="008A67AD">
        <w:t>existing real estate properties</w:t>
      </w:r>
    </w:p>
    <w:p w:rsidR="00000000" w:rsidRPr="008A67AD" w:rsidP="008A67AD">
      <w:pPr>
        <w:pStyle w:val="ListBullet2"/>
      </w:pPr>
      <w:r w:rsidRPr="008A67AD">
        <w:t>high-rise apartments</w:t>
      </w:r>
    </w:p>
    <w:p w:rsidR="00000000" w:rsidRPr="008A67AD" w:rsidP="008A67AD">
      <w:pPr>
        <w:pStyle w:val="ListBullet2"/>
      </w:pPr>
      <w:r w:rsidRPr="008A67AD">
        <w:t>high-rise construction</w:t>
      </w:r>
    </w:p>
    <w:p w:rsidR="00000000" w:rsidRPr="008A67AD" w:rsidP="008A67AD">
      <w:pPr>
        <w:pStyle w:val="ListBullet2"/>
      </w:pPr>
      <w:r w:rsidRPr="008A67AD">
        <w:t>holiday homes and resorts</w:t>
      </w:r>
    </w:p>
    <w:p w:rsidR="00000000" w:rsidRPr="008A67AD" w:rsidP="008A67AD">
      <w:pPr>
        <w:pStyle w:val="ListBullet2"/>
      </w:pPr>
      <w:r w:rsidRPr="008A67AD">
        <w:t>mobile homes</w:t>
      </w:r>
    </w:p>
    <w:p w:rsidR="00000000" w:rsidRPr="008A67AD" w:rsidP="008A67AD">
      <w:pPr>
        <w:pStyle w:val="ListBullet2"/>
      </w:pPr>
      <w:r w:rsidRPr="008A67AD">
        <w:t>retirement villages</w:t>
      </w:r>
    </w:p>
    <w:p w:rsidR="00000000" w:rsidRPr="008A67AD" w:rsidP="008A67AD">
      <w:pPr>
        <w:pStyle w:val="ListBullet2"/>
      </w:pPr>
      <w:r w:rsidRPr="008A67AD">
        <w:t>terrace housing</w:t>
      </w:r>
    </w:p>
    <w:p w:rsidR="00000000" w:rsidRPr="008A67AD" w:rsidP="008A67AD">
      <w:pPr>
        <w:pStyle w:val="ListBullet"/>
      </w:pPr>
      <w:r w:rsidRPr="008A67AD">
        <w:t>purchasing patterns and other socioeconomic factors:</w:t>
      </w:r>
    </w:p>
    <w:p w:rsidR="00000000" w:rsidRPr="008A67AD" w:rsidP="008A67AD">
      <w:pPr>
        <w:pStyle w:val="ListBullet2"/>
      </w:pPr>
      <w:r w:rsidRPr="008A67AD">
        <w:t>business confidence</w:t>
      </w:r>
    </w:p>
    <w:p w:rsidR="00000000" w:rsidRPr="008A67AD" w:rsidP="008A67AD">
      <w:pPr>
        <w:pStyle w:val="ListBullet2"/>
      </w:pPr>
      <w:r w:rsidRPr="008A67AD">
        <w:t>job security or insecurity</w:t>
      </w:r>
    </w:p>
    <w:p w:rsidR="00000000" w:rsidRPr="008A67AD" w:rsidP="008A67AD">
      <w:pPr>
        <w:pStyle w:val="ListBullet2"/>
      </w:pPr>
      <w:r w:rsidRPr="008A67AD">
        <w:t>level of socioeconomic activity</w:t>
      </w:r>
    </w:p>
    <w:p w:rsidR="00000000" w:rsidRPr="008A67AD" w:rsidP="008A67AD">
      <w:pPr>
        <w:pStyle w:val="ListBullet2"/>
      </w:pPr>
      <w:r w:rsidRPr="008A67AD">
        <w:t>migration</w:t>
      </w:r>
    </w:p>
    <w:p w:rsidR="00000000" w:rsidRPr="008A67AD" w:rsidP="008A67AD">
      <w:pPr>
        <w:pStyle w:val="ListBullet"/>
      </w:pPr>
      <w:r w:rsidRPr="008A67AD">
        <w:t>government building and construction regulations, standards and codes</w:t>
      </w:r>
    </w:p>
    <w:p w:rsidR="00000000" w:rsidRPr="008A67AD" w:rsidP="008A67AD">
      <w:pPr>
        <w:pStyle w:val="ListBullet"/>
      </w:pPr>
      <w:r w:rsidRPr="008A67AD">
        <w:t>legal and contractual requirements relatin</w:t>
      </w:r>
      <w:r w:rsidRPr="008A67AD">
        <w:t>g to building and construction.</w:t>
      </w:r>
    </w:p>
    <w:p w:rsidR="00000000" w:rsidRPr="008A67AD" w:rsidP="008A67AD">
      <w:pPr>
        <w:pStyle w:val="AllowPageBreak"/>
      </w:pPr>
    </w:p>
    <w:p w:rsidR="00000000" w:rsidRPr="008A67AD" w:rsidP="008A67AD">
      <w:pPr>
        <w:pStyle w:val="Heading1"/>
      </w:pPr>
      <w:bookmarkStart w:id="4" w:name="O_1051032"/>
      <w:bookmarkEnd w:id="4"/>
      <w:r w:rsidRPr="008A67AD">
        <w:t>Assessment Conditions</w:t>
      </w:r>
    </w:p>
    <w:p w:rsidR="00000000" w:rsidRPr="008A67AD" w:rsidP="00DA00AD">
      <w:pPr>
        <w:pStyle w:val="BodyText"/>
      </w:pPr>
      <w:r w:rsidRPr="008A67AD">
        <w:t xml:space="preserve">Assessors must meet the requirements for assessors contained in the Standards for Registered Training Organisations. </w:t>
      </w:r>
    </w:p>
    <w:p w:rsidR="00000000" w:rsidRPr="008A67AD" w:rsidP="00DA00AD">
      <w:pPr>
        <w:pStyle w:val="BodyText"/>
      </w:pPr>
      <w:r w:rsidRPr="008A67AD">
        <w:t xml:space="preserve">Assessment can be undertaken in the workplace or in a simulated workplace environment. </w:t>
      </w:r>
    </w:p>
    <w:p w:rsidR="00000000" w:rsidRPr="008A67AD" w:rsidP="00DA00AD">
      <w:pPr>
        <w:pStyle w:val="BodyText"/>
      </w:pPr>
      <w:r w:rsidRPr="008A67AD">
        <w:t>A simulated environment is one that realistically replicates workplace conditions, materials and equipment, interactions with others and workplace irregularities, and w</w:t>
      </w:r>
      <w:r w:rsidRPr="008A67AD">
        <w:t xml:space="preserve">hich meets industry standards for safety and environmental practices.  </w:t>
      </w:r>
    </w:p>
    <w:p w:rsidR="00000000" w:rsidRPr="008A67AD" w:rsidP="00DA00AD">
      <w:pPr>
        <w:pStyle w:val="BodyText"/>
      </w:pPr>
      <w:r w:rsidRPr="008A67AD">
        <w:t xml:space="preserve">Candidates must have access to: </w:t>
      </w:r>
    </w:p>
    <w:p w:rsidR="00000000" w:rsidRPr="008A67AD" w:rsidP="008A67AD">
      <w:pPr>
        <w:pStyle w:val="ListBullet"/>
      </w:pPr>
      <w:r w:rsidRPr="008A67AD">
        <w:t xml:space="preserve">relevant government building and construction and contract legislation </w:t>
      </w:r>
    </w:p>
    <w:p w:rsidR="00000000" w:rsidRPr="008A67AD" w:rsidP="008A67AD">
      <w:pPr>
        <w:pStyle w:val="ListBullet"/>
      </w:pPr>
      <w:r w:rsidRPr="008A67AD">
        <w:t>current building and construction codes and standards</w:t>
      </w:r>
    </w:p>
    <w:p w:rsidR="00000000" w:rsidRPr="008A67AD" w:rsidP="008A67AD">
      <w:pPr>
        <w:pStyle w:val="ListBullet"/>
      </w:pPr>
      <w:r w:rsidRPr="008A67AD">
        <w:t>construction drawings an</w:t>
      </w:r>
      <w:r w:rsidRPr="008A67AD">
        <w:t>d specifications</w:t>
      </w:r>
    </w:p>
    <w:p w:rsidR="00000000" w:rsidRPr="008A67AD" w:rsidP="008A67AD">
      <w:pPr>
        <w:pStyle w:val="ListBullet"/>
      </w:pPr>
      <w:r w:rsidRPr="008A67AD">
        <w:t xml:space="preserve">organisational policies and procedures and other quality documentation required to undertake the performance criteria and assessment requirements </w:t>
      </w:r>
    </w:p>
    <w:p w:rsidR="00000000" w:rsidRPr="008A67AD" w:rsidP="008A67AD">
      <w:pPr>
        <w:pStyle w:val="ListBullet"/>
      </w:pPr>
      <w:r w:rsidRPr="008A67AD">
        <w:t>digital devices, applications and software to transmit and receive information electronicall</w:t>
      </w:r>
      <w:r w:rsidRPr="008A67AD">
        <w:t>y.</w:t>
      </w:r>
    </w:p>
    <w:p w:rsidR="00000000" w:rsidRPr="008A67AD" w:rsidP="008A67AD">
      <w:pPr>
        <w:pStyle w:val="AllowPageBreak"/>
      </w:pPr>
    </w:p>
    <w:p w:rsidR="00000000" w:rsidRPr="008A67AD" w:rsidP="008A67AD">
      <w:pPr>
        <w:pStyle w:val="Heading1"/>
      </w:pPr>
      <w:bookmarkStart w:id="5" w:name="O_1051030"/>
      <w:bookmarkEnd w:id="5"/>
      <w:r w:rsidRPr="008A67AD">
        <w:t>Links</w:t>
      </w:r>
    </w:p>
    <w:p w:rsidR="00000000" w:rsidRPr="008A67AD" w:rsidP="00DA00AD">
      <w:pPr>
        <w:pStyle w:val="BodyText"/>
      </w:pPr>
      <w:r w:rsidRPr="008A67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70C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67AD" w:rsidP="008A67AD"/>
    <w:sectPr w:rsidSect="008A67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AD" w:rsidRPr="00DA00AD" w:rsidP="00DA0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AD" w:rsidP="008A6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0AD" w:rsidP="008A6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A00AD" w:rsidP="008A6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7AD" w:rsidRPr="00DA00AD" w:rsidP="00DA0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0AD" w:rsidRPr="002D2AF8" w:rsidP="008A6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CPCCBC4030 Analyse and communicate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A00AD" w:rsidP="008A6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B06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E0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4F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7AD"/>
  </w:style>
  <w:style w:type="character" w:customStyle="1" w:styleId="Heading1Char">
    <w:name w:val="Heading 1 Char"/>
    <w:basedOn w:val="DefaultParagraphFont"/>
    <w:link w:val="Heading1"/>
    <w:rsid w:val="008A6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7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7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67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7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7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7AD"/>
    <w:rPr>
      <w:b/>
      <w:spacing w:val="0"/>
    </w:rPr>
  </w:style>
  <w:style w:type="paragraph" w:customStyle="1" w:styleId="SuperTitle">
    <w:name w:val="SuperTitle"/>
    <w:basedOn w:val="Title"/>
    <w:rsid w:val="008A6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7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7AD"/>
    <w:rPr>
      <w:i/>
    </w:rPr>
  </w:style>
  <w:style w:type="paragraph" w:styleId="Caption">
    <w:name w:val="caption"/>
    <w:basedOn w:val="BodyText"/>
    <w:next w:val="Normal"/>
    <w:qFormat/>
    <w:rsid w:val="008A6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7AD"/>
  </w:style>
  <w:style w:type="paragraph" w:styleId="TableofFigures">
    <w:name w:val="table of figures"/>
    <w:basedOn w:val="Normal"/>
    <w:next w:val="Normal"/>
    <w:semiHidden/>
    <w:rsid w:val="008A6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7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7AD"/>
    <w:rPr>
      <w:rFonts w:ascii="Wingdings" w:hAnsi="Wingdings"/>
    </w:rPr>
  </w:style>
  <w:style w:type="paragraph" w:customStyle="1" w:styleId="TableHeading">
    <w:name w:val="Table Heading"/>
    <w:basedOn w:val="HeadingBase"/>
    <w:rsid w:val="008A6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7AD"/>
    <w:rPr>
      <w:color w:val="0033CC"/>
      <w:u w:val="none"/>
    </w:rPr>
  </w:style>
  <w:style w:type="paragraph" w:customStyle="1" w:styleId="BodyTextRight">
    <w:name w:val="Body Text Right"/>
    <w:basedOn w:val="BodyText"/>
    <w:rsid w:val="008A6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7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7AD"/>
    <w:rPr>
      <w:sz w:val="32"/>
    </w:rPr>
  </w:style>
  <w:style w:type="paragraph" w:customStyle="1" w:styleId="HeadingProcedure">
    <w:name w:val="Heading Procedure"/>
    <w:basedOn w:val="HeadingBase"/>
    <w:next w:val="Normal"/>
    <w:rsid w:val="008A6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7AD"/>
    <w:pPr>
      <w:spacing w:before="60" w:after="60"/>
    </w:pPr>
  </w:style>
  <w:style w:type="paragraph" w:styleId="ListContinue">
    <w:name w:val="List Continue"/>
    <w:basedOn w:val="List"/>
    <w:rsid w:val="008A67AD"/>
    <w:pPr>
      <w:ind w:firstLine="0"/>
    </w:pPr>
  </w:style>
  <w:style w:type="paragraph" w:customStyle="1" w:styleId="ListNote">
    <w:name w:val="List Note"/>
    <w:basedOn w:val="List"/>
    <w:rsid w:val="008A6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7AD"/>
    <w:rPr>
      <w:rFonts w:ascii="Courier New" w:hAnsi="Courier New"/>
    </w:rPr>
  </w:style>
  <w:style w:type="paragraph" w:customStyle="1" w:styleId="NoteBullet">
    <w:name w:val="Note Bullet"/>
    <w:basedOn w:val="Note"/>
    <w:rsid w:val="008A6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7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7AD"/>
    <w:rPr>
      <w:b/>
      <w:smallCaps/>
    </w:rPr>
  </w:style>
  <w:style w:type="paragraph" w:customStyle="1" w:styleId="TableListNumber">
    <w:name w:val="Table List Number"/>
    <w:basedOn w:val="ListNumber"/>
    <w:rsid w:val="008A6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7AD"/>
    <w:pPr>
      <w:numPr>
        <w:numId w:val="9"/>
      </w:numPr>
    </w:pPr>
  </w:style>
  <w:style w:type="paragraph" w:customStyle="1" w:styleId="ListAlpha2">
    <w:name w:val="List Alpha 2"/>
    <w:basedOn w:val="List2"/>
    <w:rsid w:val="008A67AD"/>
    <w:pPr>
      <w:numPr>
        <w:numId w:val="8"/>
      </w:numPr>
    </w:pPr>
  </w:style>
  <w:style w:type="paragraph" w:styleId="List2">
    <w:name w:val="List 2"/>
    <w:basedOn w:val="BodyText"/>
    <w:rsid w:val="008A6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7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7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7AD"/>
    <w:pPr>
      <w:numPr>
        <w:numId w:val="4"/>
      </w:numPr>
    </w:pPr>
  </w:style>
  <w:style w:type="paragraph" w:styleId="ListContinue2">
    <w:name w:val="List Continue 2"/>
    <w:basedOn w:val="List2"/>
    <w:rsid w:val="008A67AD"/>
    <w:pPr>
      <w:ind w:firstLine="0"/>
    </w:pPr>
  </w:style>
  <w:style w:type="paragraph" w:styleId="ListContinue3">
    <w:name w:val="List Continue 3"/>
    <w:basedOn w:val="List3"/>
    <w:rsid w:val="008A67AD"/>
    <w:pPr>
      <w:ind w:left="1021" w:firstLine="0"/>
    </w:pPr>
  </w:style>
  <w:style w:type="paragraph" w:styleId="ListContinue4">
    <w:name w:val="List Continue 4"/>
    <w:basedOn w:val="List4"/>
    <w:rsid w:val="008A67AD"/>
    <w:pPr>
      <w:ind w:firstLine="0"/>
    </w:pPr>
  </w:style>
  <w:style w:type="paragraph" w:styleId="ListContinue5">
    <w:name w:val="List Continue 5"/>
    <w:basedOn w:val="List5"/>
    <w:rsid w:val="008A67AD"/>
    <w:pPr>
      <w:ind w:firstLine="0"/>
    </w:pPr>
  </w:style>
  <w:style w:type="paragraph" w:styleId="ListNumber3">
    <w:name w:val="List Number 3"/>
    <w:basedOn w:val="List3"/>
    <w:rsid w:val="008A67AD"/>
    <w:pPr>
      <w:numPr>
        <w:numId w:val="5"/>
      </w:numPr>
    </w:pPr>
  </w:style>
  <w:style w:type="paragraph" w:styleId="ListNumber4">
    <w:name w:val="List Number 4"/>
    <w:basedOn w:val="List4"/>
    <w:rsid w:val="008A67AD"/>
    <w:pPr>
      <w:numPr>
        <w:numId w:val="6"/>
      </w:numPr>
    </w:pPr>
  </w:style>
  <w:style w:type="paragraph" w:styleId="ListNumber5">
    <w:name w:val="List Number 5"/>
    <w:basedOn w:val="List5"/>
    <w:rsid w:val="008A67AD"/>
    <w:pPr>
      <w:numPr>
        <w:numId w:val="7"/>
      </w:numPr>
    </w:pPr>
  </w:style>
  <w:style w:type="paragraph" w:styleId="BlockText">
    <w:name w:val="Block Text"/>
    <w:basedOn w:val="Normal"/>
    <w:rsid w:val="008A6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7AD"/>
    <w:rPr>
      <w:sz w:val="16"/>
      <w:vertAlign w:val="superscript"/>
    </w:rPr>
  </w:style>
  <w:style w:type="character" w:customStyle="1" w:styleId="Symbols">
    <w:name w:val="Symbols"/>
    <w:basedOn w:val="DefaultParagraphFont"/>
    <w:rsid w:val="008A67AD"/>
    <w:rPr>
      <w:rFonts w:ascii="Symbol" w:hAnsi="Symbol"/>
    </w:rPr>
  </w:style>
  <w:style w:type="character" w:customStyle="1" w:styleId="MenuOptions">
    <w:name w:val="Menu Options"/>
    <w:basedOn w:val="DefaultParagraphFont"/>
    <w:rsid w:val="008A6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7AD"/>
    <w:rPr>
      <w:b/>
    </w:rPr>
  </w:style>
  <w:style w:type="character" w:customStyle="1" w:styleId="Underlined">
    <w:name w:val="Underlined"/>
    <w:basedOn w:val="DefaultParagraphFont"/>
    <w:rsid w:val="008A67AD"/>
    <w:rPr>
      <w:u w:val="single"/>
    </w:rPr>
  </w:style>
  <w:style w:type="paragraph" w:customStyle="1" w:styleId="TableBodyTextRight">
    <w:name w:val="Table Body Text Right"/>
    <w:basedOn w:val="TableBodyText"/>
    <w:rsid w:val="008A6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7AD"/>
    <w:rPr>
      <w:sz w:val="18"/>
    </w:rPr>
  </w:style>
  <w:style w:type="paragraph" w:customStyle="1" w:styleId="BodySmallRight">
    <w:name w:val="Body Small Right"/>
    <w:basedOn w:val="BodyTextRight"/>
    <w:rsid w:val="008A67AD"/>
    <w:rPr>
      <w:sz w:val="18"/>
      <w:szCs w:val="18"/>
    </w:rPr>
  </w:style>
  <w:style w:type="paragraph" w:customStyle="1" w:styleId="MarginEdition">
    <w:name w:val="Margin Edition"/>
    <w:basedOn w:val="MarginNote"/>
    <w:rsid w:val="008A6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7AD"/>
    <w:rPr>
      <w:sz w:val="2"/>
      <w:szCs w:val="2"/>
    </w:rPr>
  </w:style>
  <w:style w:type="character" w:customStyle="1" w:styleId="Small">
    <w:name w:val="Small"/>
    <w:basedOn w:val="DefaultParagraphFont"/>
    <w:rsid w:val="008A67AD"/>
    <w:rPr>
      <w:sz w:val="16"/>
    </w:rPr>
  </w:style>
  <w:style w:type="paragraph" w:customStyle="1" w:styleId="WideTable">
    <w:name w:val="Wide Table"/>
    <w:basedOn w:val="Normal"/>
    <w:rsid w:val="008A6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7AD"/>
  </w:style>
  <w:style w:type="paragraph" w:styleId="Quote">
    <w:name w:val="Quote"/>
    <w:basedOn w:val="Heading1"/>
    <w:link w:val="QuoteChar"/>
    <w:qFormat/>
    <w:rsid w:val="008A6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7AD"/>
    <w:pPr>
      <w:pageBreakBefore/>
    </w:pPr>
  </w:style>
  <w:style w:type="paragraph" w:customStyle="1" w:styleId="Border">
    <w:name w:val="Border"/>
    <w:basedOn w:val="Normal"/>
    <w:qFormat/>
    <w:rsid w:val="008A6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7AD"/>
    <w:rPr>
      <w:u w:val="single"/>
    </w:rPr>
  </w:style>
  <w:style w:type="character" w:customStyle="1" w:styleId="BoldandItalics">
    <w:name w:val="Bold and Italics"/>
    <w:qFormat/>
    <w:rsid w:val="008A67AD"/>
    <w:rPr>
      <w:b/>
      <w:i/>
      <w:u w:val="none"/>
    </w:rPr>
  </w:style>
  <w:style w:type="paragraph" w:styleId="BalloonText">
    <w:name w:val="Balloon Text"/>
    <w:basedOn w:val="Normal"/>
    <w:link w:val="BalloonTextChar"/>
    <w:rsid w:val="008A6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7AD"/>
    <w:pPr>
      <w:spacing w:before="0" w:after="0"/>
    </w:pPr>
  </w:style>
  <w:style w:type="paragraph" w:customStyle="1" w:styleId="BodyTextBold">
    <w:name w:val="Body Text Bold"/>
    <w:basedOn w:val="BodyText"/>
    <w:qFormat/>
    <w:rsid w:val="008A67AD"/>
    <w:rPr>
      <w:b/>
    </w:rPr>
  </w:style>
  <w:style w:type="character" w:styleId="Hyperlink">
    <w:name w:val="Hyperlink"/>
    <w:basedOn w:val="DefaultParagraphFont"/>
    <w:uiPriority w:val="99"/>
    <w:unhideWhenUsed/>
    <w:rsid w:val="00DA0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3490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CPCCBC4030 Analyse and communicate industry information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