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2CDD" w:rsidP="00572C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CPCCBC4026 Arrange building applications and approvals</w:t>
      </w:r>
      <w:r>
        <w:fldChar w:fldCharType="end"/>
      </w:r>
    </w:p>
    <w:p w:rsidR="00572CDD" w:rsidP="00572CDD">
      <w:pPr>
        <w:pStyle w:val="Version"/>
        <w:sectPr w:rsidSect="00B84A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84AB0" w:rsidP="00B84AB0">
      <w:pPr>
        <w:pStyle w:val="SuperHeading"/>
      </w:pPr>
      <w:r w:rsidRPr="00B84AB0">
        <w:t>Assessment Requirements for CPCCBC4026 Arrange building applications and approvals</w:t>
      </w:r>
    </w:p>
    <w:p w:rsidR="00000000" w:rsidRPr="00B84AB0" w:rsidP="00B84AB0">
      <w:pPr>
        <w:pStyle w:val="Heading1"/>
      </w:pPr>
      <w:bookmarkStart w:id="1" w:name="O_1292232"/>
      <w:bookmarkEnd w:id="1"/>
      <w:r w:rsidRPr="00B84AB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B84A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AB0">
            <w:pPr>
              <w:pStyle w:val="BodyText"/>
              <w:rPr>
                <w:lang w:val="en-NZ"/>
              </w:rPr>
            </w:pPr>
            <w:r w:rsidRPr="00B84AB0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AB0">
            <w:pPr>
              <w:pStyle w:val="BodyText"/>
              <w:rPr>
                <w:lang w:val="en-NZ"/>
              </w:rPr>
            </w:pPr>
            <w:r w:rsidRPr="00B84AB0">
              <w:t>Updated reference to general construction induction training program.</w:t>
            </w:r>
          </w:p>
        </w:tc>
      </w:tr>
      <w:tr w:rsidTr="00B84A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AB0">
            <w:pPr>
              <w:pStyle w:val="BodyText"/>
              <w:rPr>
                <w:lang w:val="en-NZ"/>
              </w:rPr>
            </w:pPr>
            <w:r w:rsidRPr="00B84AB0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AB0" w:rsidP="00B84AB0">
            <w:pPr>
              <w:pStyle w:val="BodyText"/>
            </w:pPr>
            <w:r w:rsidRPr="00B84AB0">
              <w:t>This version first released with CPC Construction, Plumbing and Services Training Package Release 5.0.</w:t>
            </w:r>
          </w:p>
          <w:p w:rsidR="00000000" w:rsidRPr="00B84AB0" w:rsidP="00B84AB0">
            <w:pPr>
              <w:pStyle w:val="BodyText"/>
            </w:pPr>
            <w:r w:rsidRPr="00B84AB0">
              <w:t>Supersedes and is equivalent to CPCCBC4026A Arrange building applications and approvals.  Updated to meet the Standards for Training Packages 2012.</w:t>
            </w:r>
          </w:p>
        </w:tc>
      </w:tr>
    </w:tbl>
    <w:p w:rsidR="00000000" w:rsidRPr="00B84AB0" w:rsidP="00B84AB0">
      <w:pPr>
        <w:pStyle w:val="BodyText"/>
      </w:pPr>
    </w:p>
    <w:p w:rsidR="00000000" w:rsidRPr="00B84AB0" w:rsidP="00B84AB0">
      <w:pPr>
        <w:pStyle w:val="AllowPageBreak"/>
      </w:pPr>
    </w:p>
    <w:p w:rsidR="00000000" w:rsidRPr="00B84AB0" w:rsidP="00B84AB0">
      <w:pPr>
        <w:pStyle w:val="Heading1"/>
      </w:pPr>
      <w:bookmarkStart w:id="2" w:name="O_1292231"/>
      <w:bookmarkEnd w:id="2"/>
      <w:r w:rsidRPr="00B84AB0">
        <w:t>Performance Evidence</w:t>
      </w:r>
    </w:p>
    <w:p w:rsidR="00000000" w:rsidRPr="00B84AB0" w:rsidP="00572CDD">
      <w:pPr>
        <w:pStyle w:val="BodyText"/>
      </w:pPr>
      <w:r w:rsidRPr="00B84AB0">
        <w:t>To demonstrate competency, a candidate must meet the elements and performance criteria of this unit by preparing, submitting and managing one residential and one commercial building and construction application for appr</w:t>
      </w:r>
      <w:r w:rsidRPr="00B84AB0">
        <w:t>oval.</w:t>
      </w:r>
    </w:p>
    <w:p w:rsidR="00000000" w:rsidRPr="00B84AB0" w:rsidP="00572CDD">
      <w:pPr>
        <w:pStyle w:val="BodyText"/>
      </w:pPr>
      <w:r w:rsidRPr="00B84AB0">
        <w:t>In doing this, the candidate must:</w:t>
      </w:r>
    </w:p>
    <w:p w:rsidR="00000000" w:rsidRPr="00B84AB0" w:rsidP="00B84AB0">
      <w:pPr>
        <w:pStyle w:val="ListBullet"/>
      </w:pPr>
      <w:r w:rsidRPr="00B84AB0">
        <w:t>develop a submission plan, which includes:</w:t>
      </w:r>
    </w:p>
    <w:p w:rsidR="00000000" w:rsidRPr="00B84AB0" w:rsidP="00B84AB0">
      <w:pPr>
        <w:pStyle w:val="ListBullet2"/>
      </w:pPr>
      <w:r w:rsidRPr="00B84AB0">
        <w:t>stages and dates for submission of applications</w:t>
      </w:r>
    </w:p>
    <w:p w:rsidR="00000000" w:rsidRPr="00B84AB0" w:rsidP="00B84AB0">
      <w:pPr>
        <w:pStyle w:val="ListBullet2"/>
      </w:pPr>
      <w:r w:rsidRPr="00B84AB0">
        <w:t>forms, documents and supporting evidence required to be submitted</w:t>
      </w:r>
    </w:p>
    <w:p w:rsidR="00000000" w:rsidRPr="00B84AB0" w:rsidP="00B84AB0">
      <w:pPr>
        <w:pStyle w:val="ListBullet2"/>
      </w:pPr>
      <w:r w:rsidRPr="00B84AB0">
        <w:t>application fees, charges and costs.</w:t>
      </w:r>
    </w:p>
    <w:p w:rsidR="00000000" w:rsidRPr="00B84AB0" w:rsidP="00B84AB0">
      <w:pPr>
        <w:pStyle w:val="AllowPageBreak"/>
      </w:pPr>
    </w:p>
    <w:p w:rsidR="00000000" w:rsidRPr="00B84AB0" w:rsidP="00B84AB0">
      <w:pPr>
        <w:pStyle w:val="Heading1"/>
      </w:pPr>
      <w:bookmarkStart w:id="3" w:name="O_1292230"/>
      <w:bookmarkEnd w:id="3"/>
      <w:r w:rsidRPr="00B84AB0">
        <w:t>Knowledge Evidence</w:t>
      </w:r>
    </w:p>
    <w:p w:rsidR="00000000" w:rsidRPr="00B84AB0" w:rsidP="00572CDD">
      <w:pPr>
        <w:pStyle w:val="BodyText"/>
      </w:pPr>
      <w:r w:rsidRPr="00B84AB0">
        <w:t>To be competent in this unit, a candidate must demonstrate knowledge of:</w:t>
      </w:r>
    </w:p>
    <w:p w:rsidR="00000000" w:rsidRPr="00B84AB0" w:rsidP="00B84AB0">
      <w:pPr>
        <w:pStyle w:val="ListBullet"/>
      </w:pPr>
      <w:r w:rsidRPr="00B84AB0">
        <w:t>relevant government building legislation, codes and standards</w:t>
      </w:r>
    </w:p>
    <w:p w:rsidR="00000000" w:rsidRPr="00B84AB0" w:rsidP="00B84AB0">
      <w:pPr>
        <w:pStyle w:val="ListBullet"/>
      </w:pPr>
      <w:r w:rsidRPr="00B84AB0">
        <w:t>plans, specifications and contracts</w:t>
      </w:r>
    </w:p>
    <w:p w:rsidR="00000000" w:rsidRPr="00B84AB0" w:rsidP="00B84AB0">
      <w:pPr>
        <w:pStyle w:val="ListBullet"/>
      </w:pPr>
      <w:r w:rsidRPr="00B84AB0">
        <w:t>local authority building application processes:</w:t>
      </w:r>
    </w:p>
    <w:p w:rsidR="00000000" w:rsidRPr="00B84AB0" w:rsidP="00B84AB0">
      <w:pPr>
        <w:pStyle w:val="ListBullet2"/>
      </w:pPr>
      <w:r w:rsidRPr="00B84AB0">
        <w:t xml:space="preserve">full approval </w:t>
      </w:r>
    </w:p>
    <w:p w:rsidR="00000000" w:rsidRPr="00B84AB0" w:rsidP="00B84AB0">
      <w:pPr>
        <w:pStyle w:val="ListBullet2"/>
      </w:pPr>
      <w:r w:rsidRPr="00B84AB0">
        <w:t>s</w:t>
      </w:r>
      <w:r w:rsidRPr="00B84AB0">
        <w:t>taged approval</w:t>
      </w:r>
    </w:p>
    <w:p w:rsidR="00000000" w:rsidRPr="00B84AB0" w:rsidP="00B84AB0">
      <w:pPr>
        <w:pStyle w:val="ListBullet2"/>
      </w:pPr>
      <w:r w:rsidRPr="00B84AB0">
        <w:t>development applications</w:t>
      </w:r>
    </w:p>
    <w:p w:rsidR="00000000" w:rsidRPr="00B84AB0" w:rsidP="00B84AB0">
      <w:pPr>
        <w:pStyle w:val="ListBullet2"/>
      </w:pPr>
      <w:r w:rsidRPr="00B84AB0">
        <w:t>sustainability requirements</w:t>
      </w:r>
    </w:p>
    <w:p w:rsidR="00000000" w:rsidRPr="00B84AB0" w:rsidP="00B84AB0">
      <w:pPr>
        <w:pStyle w:val="ListBullet2"/>
      </w:pPr>
      <w:r w:rsidRPr="00B84AB0">
        <w:t>fees and levies</w:t>
      </w:r>
    </w:p>
    <w:p w:rsidR="00000000" w:rsidRPr="00B84AB0" w:rsidP="00B84AB0">
      <w:pPr>
        <w:pStyle w:val="ListBullet2"/>
      </w:pPr>
      <w:r w:rsidRPr="00B84AB0">
        <w:t>complaints and appeals</w:t>
      </w:r>
    </w:p>
    <w:p w:rsidR="00000000" w:rsidRPr="00B84AB0" w:rsidP="00B84AB0">
      <w:pPr>
        <w:pStyle w:val="ListBullet"/>
      </w:pPr>
      <w:r w:rsidRPr="00B84AB0">
        <w:t>documentation requirements of building approval submissions:</w:t>
      </w:r>
    </w:p>
    <w:p w:rsidR="00000000" w:rsidRPr="00B84AB0" w:rsidP="00B84AB0">
      <w:pPr>
        <w:pStyle w:val="ListBullet2"/>
      </w:pPr>
      <w:r w:rsidRPr="00B84AB0">
        <w:t>design briefs</w:t>
      </w:r>
    </w:p>
    <w:p w:rsidR="00000000" w:rsidRPr="00B84AB0" w:rsidP="00B84AB0">
      <w:pPr>
        <w:pStyle w:val="ListBullet2"/>
      </w:pPr>
      <w:r w:rsidRPr="00B84AB0">
        <w:t>specialist</w:t>
      </w:r>
      <w:r>
        <w:t>’</w:t>
      </w:r>
      <w:r w:rsidRPr="00B84AB0">
        <w:t>s reports</w:t>
      </w:r>
    </w:p>
    <w:p w:rsidR="00000000" w:rsidRPr="00B84AB0" w:rsidP="00B84AB0">
      <w:pPr>
        <w:pStyle w:val="ListBullet2"/>
      </w:pPr>
      <w:r w:rsidRPr="00B84AB0">
        <w:t>working drawings, plans, details and specifications</w:t>
      </w:r>
    </w:p>
    <w:p w:rsidR="00000000" w:rsidRPr="00B84AB0" w:rsidP="00B84AB0">
      <w:pPr>
        <w:pStyle w:val="ListBullet"/>
      </w:pPr>
      <w:r w:rsidRPr="00B84AB0">
        <w:t>organisational quality assurance processes and practices:</w:t>
      </w:r>
    </w:p>
    <w:p w:rsidR="00000000" w:rsidRPr="00B84AB0" w:rsidP="00B84AB0">
      <w:pPr>
        <w:pStyle w:val="ListBullet2"/>
      </w:pPr>
      <w:r w:rsidRPr="00B84AB0">
        <w:t>authorities and approval delegations</w:t>
      </w:r>
    </w:p>
    <w:p w:rsidR="00000000" w:rsidRPr="00B84AB0" w:rsidP="00B84AB0">
      <w:pPr>
        <w:pStyle w:val="ListBullet2"/>
      </w:pPr>
      <w:r w:rsidRPr="00B84AB0">
        <w:t>document control</w:t>
      </w:r>
    </w:p>
    <w:p w:rsidR="00000000" w:rsidRPr="00B84AB0" w:rsidP="00B84AB0">
      <w:pPr>
        <w:pStyle w:val="ListBullet"/>
      </w:pPr>
      <w:r w:rsidRPr="00B84AB0">
        <w:t>specialist services for certification of documentation:</w:t>
      </w:r>
    </w:p>
    <w:p w:rsidR="00000000" w:rsidRPr="00B84AB0" w:rsidP="00B84AB0">
      <w:pPr>
        <w:pStyle w:val="ListBullet2"/>
      </w:pPr>
      <w:r w:rsidRPr="00B84AB0">
        <w:t>building surveyors, quantity surveyors and site surveyors</w:t>
      </w:r>
    </w:p>
    <w:p w:rsidR="00000000" w:rsidRPr="00B84AB0" w:rsidP="00B84AB0">
      <w:pPr>
        <w:pStyle w:val="ListBullet2"/>
      </w:pPr>
      <w:r w:rsidRPr="00B84AB0">
        <w:t>geotechnical and environm</w:t>
      </w:r>
      <w:r w:rsidRPr="00B84AB0">
        <w:t>ental specialists</w:t>
      </w:r>
    </w:p>
    <w:p w:rsidR="00000000" w:rsidRPr="00B84AB0" w:rsidP="00B84AB0">
      <w:pPr>
        <w:pStyle w:val="ListBullet2"/>
      </w:pPr>
      <w:r w:rsidRPr="00B84AB0">
        <w:t>structural, mechanical and electrical engineers.</w:t>
      </w:r>
    </w:p>
    <w:p w:rsidR="00000000" w:rsidRPr="00B84AB0" w:rsidP="00B84AB0">
      <w:pPr>
        <w:pStyle w:val="AllowPageBreak"/>
      </w:pPr>
    </w:p>
    <w:p w:rsidR="00000000" w:rsidRPr="00B84AB0" w:rsidP="00B84AB0">
      <w:pPr>
        <w:pStyle w:val="Heading1"/>
      </w:pPr>
      <w:bookmarkStart w:id="4" w:name="O_1292229"/>
      <w:bookmarkEnd w:id="4"/>
      <w:r w:rsidRPr="00B84AB0">
        <w:t>Assessment Conditions</w:t>
      </w:r>
    </w:p>
    <w:p w:rsidR="00000000" w:rsidRPr="00B84AB0" w:rsidP="00572CDD">
      <w:pPr>
        <w:pStyle w:val="BodyText"/>
      </w:pPr>
      <w:r w:rsidRPr="00B84AB0">
        <w:t xml:space="preserve">Assessors must meet the requirements for assessors contained in the Standards for Registered Training Organisations. </w:t>
      </w:r>
    </w:p>
    <w:p w:rsidR="00000000" w:rsidRPr="00B84AB0" w:rsidP="00572CDD">
      <w:pPr>
        <w:pStyle w:val="BodyText"/>
      </w:pPr>
      <w:r w:rsidRPr="00B84AB0">
        <w:t>Assessment can be undert</w:t>
      </w:r>
      <w:r w:rsidRPr="00B84AB0">
        <w:t xml:space="preserve">aken in the workplace or in a simulated workplace environment. </w:t>
      </w:r>
    </w:p>
    <w:p w:rsidR="00000000" w:rsidRPr="00B84AB0" w:rsidP="00572CDD">
      <w:pPr>
        <w:pStyle w:val="BodyText"/>
      </w:pPr>
      <w:r w:rsidRPr="00B84AB0">
        <w:t>A simulated environment is one that realistically replicates workplace conditions, materials and equipment, interactions with others and workplace irregularities, and which meets industry stan</w:t>
      </w:r>
      <w:r w:rsidRPr="00B84AB0">
        <w:t>dards for safety and environmental practices.</w:t>
      </w:r>
    </w:p>
    <w:p w:rsidR="00000000" w:rsidRPr="00B84AB0" w:rsidP="00572CDD">
      <w:pPr>
        <w:pStyle w:val="BodyText"/>
      </w:pPr>
      <w:r w:rsidRPr="00B84AB0">
        <w:t>Candidates must be provided with:</w:t>
      </w:r>
    </w:p>
    <w:p w:rsidR="00000000" w:rsidRPr="00B84AB0" w:rsidP="00B84AB0">
      <w:pPr>
        <w:pStyle w:val="ListBullet"/>
      </w:pPr>
      <w:r w:rsidRPr="00B84AB0">
        <w:t>relevant government regulations, codes and standards</w:t>
      </w:r>
    </w:p>
    <w:p w:rsidR="00000000" w:rsidRPr="00B84AB0" w:rsidP="00B84AB0">
      <w:pPr>
        <w:pStyle w:val="ListBullet"/>
      </w:pPr>
      <w:r w:rsidRPr="00B84AB0">
        <w:t>current project plans, specifications and manufacturer’s product information</w:t>
      </w:r>
    </w:p>
    <w:p w:rsidR="00000000" w:rsidRPr="00B84AB0" w:rsidP="00B84AB0">
      <w:pPr>
        <w:pStyle w:val="ListBullet"/>
      </w:pPr>
      <w:r w:rsidRPr="00B84AB0">
        <w:t>organisational quality assurance documents</w:t>
      </w:r>
    </w:p>
    <w:p w:rsidR="00000000" w:rsidRPr="00B84AB0" w:rsidP="00B84AB0">
      <w:pPr>
        <w:pStyle w:val="ListBullet"/>
      </w:pPr>
      <w:r w:rsidRPr="00B84AB0">
        <w:t>lo</w:t>
      </w:r>
      <w:r w:rsidRPr="00B84AB0">
        <w:t>cal authority building approval processes and application forms</w:t>
      </w:r>
    </w:p>
    <w:p w:rsidR="00000000" w:rsidRPr="00B84AB0" w:rsidP="00B84AB0">
      <w:pPr>
        <w:pStyle w:val="ListBullet"/>
      </w:pPr>
      <w:r w:rsidRPr="00B84AB0">
        <w:t>sufficient materials and equipment to facilitate arrange building applications and approvals.</w:t>
      </w:r>
    </w:p>
    <w:p w:rsidR="00000000" w:rsidRPr="00B84AB0" w:rsidP="00B84AB0">
      <w:pPr>
        <w:pStyle w:val="AllowPageBreak"/>
      </w:pPr>
    </w:p>
    <w:p w:rsidR="00000000" w:rsidRPr="00B84AB0" w:rsidP="00B84AB0">
      <w:pPr>
        <w:pStyle w:val="Heading1"/>
      </w:pPr>
      <w:bookmarkStart w:id="5" w:name="O_1292242"/>
      <w:bookmarkEnd w:id="5"/>
      <w:r w:rsidRPr="00B84AB0">
        <w:t>Links</w:t>
      </w:r>
    </w:p>
    <w:p w:rsidR="00000000" w:rsidRPr="00B84AB0" w:rsidP="00572CDD">
      <w:pPr>
        <w:pStyle w:val="BodyText"/>
      </w:pPr>
      <w:r w:rsidRPr="00B84AB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514299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B84AB0" w:rsidP="00B84AB0"/>
    <w:sectPr w:rsidSect="00B84AB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A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AB0" w:rsidRPr="00572CDD" w:rsidP="00572C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A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CDD" w:rsidP="00B84A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72CDD" w:rsidP="00B84A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572CDD" w:rsidP="00B84A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A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C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4AB0" w:rsidRPr="00572CDD" w:rsidP="00572C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A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CDD" w:rsidRPr="002D2AF8" w:rsidP="00B84A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CPCCBC4026 Arrange building applications and approvals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572CDD" w:rsidP="00B84A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48204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8ACC5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6783B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4A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4A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4A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4A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4A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4A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4A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4A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4A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4A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4A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4AB0"/>
  </w:style>
  <w:style w:type="character" w:customStyle="1" w:styleId="Heading1Char">
    <w:name w:val="Heading 1 Char"/>
    <w:basedOn w:val="DefaultParagraphFont"/>
    <w:link w:val="Heading1"/>
    <w:rsid w:val="00B84A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4A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4AB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84AB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84AB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84A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4A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84A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4A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4A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4A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4A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4A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4A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4A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4A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4A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4A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4A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4A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4A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4A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4A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4A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4AB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84AB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84A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84AB0"/>
    <w:rPr>
      <w:b/>
      <w:spacing w:val="0"/>
    </w:rPr>
  </w:style>
  <w:style w:type="paragraph" w:customStyle="1" w:styleId="SuperTitle">
    <w:name w:val="SuperTitle"/>
    <w:basedOn w:val="Title"/>
    <w:rsid w:val="00B84A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4A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4A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84A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4A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4A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4A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4A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4A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4A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4A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4AB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84AB0"/>
    <w:rPr>
      <w:i/>
    </w:rPr>
  </w:style>
  <w:style w:type="paragraph" w:styleId="Caption">
    <w:name w:val="caption"/>
    <w:basedOn w:val="BodyText"/>
    <w:next w:val="Normal"/>
    <w:qFormat/>
    <w:rsid w:val="00B84A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4A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4A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4AB0"/>
  </w:style>
  <w:style w:type="paragraph" w:styleId="TableofFigures">
    <w:name w:val="table of figures"/>
    <w:basedOn w:val="Normal"/>
    <w:next w:val="Normal"/>
    <w:semiHidden/>
    <w:rsid w:val="00B84A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4AB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84AB0"/>
    <w:rPr>
      <w:rFonts w:ascii="Wingdings" w:hAnsi="Wingdings"/>
    </w:rPr>
  </w:style>
  <w:style w:type="paragraph" w:customStyle="1" w:styleId="TableHeading">
    <w:name w:val="Table Heading"/>
    <w:basedOn w:val="HeadingBase"/>
    <w:rsid w:val="00B84A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4AB0"/>
    <w:rPr>
      <w:color w:val="0033CC"/>
      <w:u w:val="none"/>
    </w:rPr>
  </w:style>
  <w:style w:type="paragraph" w:customStyle="1" w:styleId="BodyTextRight">
    <w:name w:val="Body Text Right"/>
    <w:basedOn w:val="BodyText"/>
    <w:rsid w:val="00B84A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4A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4AB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4A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4A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4A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4AB0"/>
    <w:rPr>
      <w:sz w:val="32"/>
    </w:rPr>
  </w:style>
  <w:style w:type="paragraph" w:customStyle="1" w:styleId="HeadingProcedure">
    <w:name w:val="Heading Procedure"/>
    <w:basedOn w:val="HeadingBase"/>
    <w:next w:val="Normal"/>
    <w:rsid w:val="00B84A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4AB0"/>
    <w:pPr>
      <w:spacing w:before="60" w:after="60"/>
    </w:pPr>
  </w:style>
  <w:style w:type="paragraph" w:styleId="ListContinue">
    <w:name w:val="List Continue"/>
    <w:basedOn w:val="List"/>
    <w:rsid w:val="00B84AB0"/>
    <w:pPr>
      <w:ind w:firstLine="0"/>
    </w:pPr>
  </w:style>
  <w:style w:type="paragraph" w:customStyle="1" w:styleId="ListNote">
    <w:name w:val="List Note"/>
    <w:basedOn w:val="List"/>
    <w:rsid w:val="00B84A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4A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4A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4AB0"/>
    <w:rPr>
      <w:rFonts w:ascii="Courier New" w:hAnsi="Courier New"/>
    </w:rPr>
  </w:style>
  <w:style w:type="paragraph" w:customStyle="1" w:styleId="NoteBullet">
    <w:name w:val="Note Bullet"/>
    <w:basedOn w:val="Note"/>
    <w:rsid w:val="00B84A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4A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4A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4A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4AB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84A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4A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4AB0"/>
    <w:rPr>
      <w:b/>
      <w:smallCaps/>
    </w:rPr>
  </w:style>
  <w:style w:type="paragraph" w:customStyle="1" w:styleId="TableListNumber">
    <w:name w:val="Table List Number"/>
    <w:basedOn w:val="ListNumber"/>
    <w:rsid w:val="00B84A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4A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4AB0"/>
    <w:pPr>
      <w:numPr>
        <w:numId w:val="9"/>
      </w:numPr>
    </w:pPr>
  </w:style>
  <w:style w:type="paragraph" w:customStyle="1" w:styleId="ListAlpha2">
    <w:name w:val="List Alpha 2"/>
    <w:basedOn w:val="List2"/>
    <w:rsid w:val="00B84AB0"/>
    <w:pPr>
      <w:numPr>
        <w:numId w:val="8"/>
      </w:numPr>
    </w:pPr>
  </w:style>
  <w:style w:type="paragraph" w:styleId="List2">
    <w:name w:val="List 2"/>
    <w:basedOn w:val="BodyText"/>
    <w:rsid w:val="00B84A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4A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4A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4A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4AB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4AB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84AB0"/>
    <w:pPr>
      <w:numPr>
        <w:numId w:val="4"/>
      </w:numPr>
    </w:pPr>
  </w:style>
  <w:style w:type="paragraph" w:styleId="ListContinue2">
    <w:name w:val="List Continue 2"/>
    <w:basedOn w:val="List2"/>
    <w:rsid w:val="00B84AB0"/>
    <w:pPr>
      <w:ind w:firstLine="0"/>
    </w:pPr>
  </w:style>
  <w:style w:type="paragraph" w:styleId="ListContinue3">
    <w:name w:val="List Continue 3"/>
    <w:basedOn w:val="List3"/>
    <w:rsid w:val="00B84AB0"/>
    <w:pPr>
      <w:ind w:left="1021" w:firstLine="0"/>
    </w:pPr>
  </w:style>
  <w:style w:type="paragraph" w:styleId="ListContinue4">
    <w:name w:val="List Continue 4"/>
    <w:basedOn w:val="List4"/>
    <w:rsid w:val="00B84AB0"/>
    <w:pPr>
      <w:ind w:firstLine="0"/>
    </w:pPr>
  </w:style>
  <w:style w:type="paragraph" w:styleId="ListContinue5">
    <w:name w:val="List Continue 5"/>
    <w:basedOn w:val="List5"/>
    <w:rsid w:val="00B84AB0"/>
    <w:pPr>
      <w:ind w:firstLine="0"/>
    </w:pPr>
  </w:style>
  <w:style w:type="paragraph" w:styleId="ListNumber3">
    <w:name w:val="List Number 3"/>
    <w:basedOn w:val="List3"/>
    <w:rsid w:val="00B84AB0"/>
    <w:pPr>
      <w:numPr>
        <w:numId w:val="5"/>
      </w:numPr>
    </w:pPr>
  </w:style>
  <w:style w:type="paragraph" w:styleId="ListNumber4">
    <w:name w:val="List Number 4"/>
    <w:basedOn w:val="List4"/>
    <w:rsid w:val="00B84AB0"/>
    <w:pPr>
      <w:numPr>
        <w:numId w:val="6"/>
      </w:numPr>
    </w:pPr>
  </w:style>
  <w:style w:type="paragraph" w:styleId="ListNumber5">
    <w:name w:val="List Number 5"/>
    <w:basedOn w:val="List5"/>
    <w:rsid w:val="00B84AB0"/>
    <w:pPr>
      <w:numPr>
        <w:numId w:val="7"/>
      </w:numPr>
    </w:pPr>
  </w:style>
  <w:style w:type="paragraph" w:styleId="BlockText">
    <w:name w:val="Block Text"/>
    <w:basedOn w:val="Normal"/>
    <w:rsid w:val="00B84A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4A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4AB0"/>
    <w:rPr>
      <w:sz w:val="16"/>
      <w:vertAlign w:val="superscript"/>
    </w:rPr>
  </w:style>
  <w:style w:type="character" w:customStyle="1" w:styleId="Symbols">
    <w:name w:val="Symbols"/>
    <w:basedOn w:val="DefaultParagraphFont"/>
    <w:rsid w:val="00B84AB0"/>
    <w:rPr>
      <w:rFonts w:ascii="Symbol" w:hAnsi="Symbol"/>
    </w:rPr>
  </w:style>
  <w:style w:type="character" w:customStyle="1" w:styleId="MenuOptions">
    <w:name w:val="Menu Options"/>
    <w:basedOn w:val="DefaultParagraphFont"/>
    <w:rsid w:val="00B84A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4AB0"/>
    <w:rPr>
      <w:b/>
    </w:rPr>
  </w:style>
  <w:style w:type="character" w:customStyle="1" w:styleId="Underlined">
    <w:name w:val="Underlined"/>
    <w:basedOn w:val="DefaultParagraphFont"/>
    <w:rsid w:val="00B84AB0"/>
    <w:rPr>
      <w:u w:val="single"/>
    </w:rPr>
  </w:style>
  <w:style w:type="paragraph" w:customStyle="1" w:styleId="TableBodyTextRight">
    <w:name w:val="Table Body Text Right"/>
    <w:basedOn w:val="TableBodyText"/>
    <w:rsid w:val="00B84A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4AB0"/>
    <w:rPr>
      <w:sz w:val="18"/>
    </w:rPr>
  </w:style>
  <w:style w:type="paragraph" w:customStyle="1" w:styleId="BodySmallRight">
    <w:name w:val="Body Small Right"/>
    <w:basedOn w:val="BodyTextRight"/>
    <w:rsid w:val="00B84AB0"/>
    <w:rPr>
      <w:sz w:val="18"/>
      <w:szCs w:val="18"/>
    </w:rPr>
  </w:style>
  <w:style w:type="paragraph" w:customStyle="1" w:styleId="MarginEdition">
    <w:name w:val="Margin Edition"/>
    <w:basedOn w:val="MarginNote"/>
    <w:rsid w:val="00B84A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4AB0"/>
    <w:rPr>
      <w:sz w:val="2"/>
      <w:szCs w:val="2"/>
    </w:rPr>
  </w:style>
  <w:style w:type="character" w:customStyle="1" w:styleId="Small">
    <w:name w:val="Small"/>
    <w:basedOn w:val="DefaultParagraphFont"/>
    <w:rsid w:val="00B84AB0"/>
    <w:rPr>
      <w:sz w:val="16"/>
    </w:rPr>
  </w:style>
  <w:style w:type="paragraph" w:customStyle="1" w:styleId="WideTable">
    <w:name w:val="Wide Table"/>
    <w:basedOn w:val="Normal"/>
    <w:rsid w:val="00B84A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4AB0"/>
  </w:style>
  <w:style w:type="paragraph" w:styleId="Quote">
    <w:name w:val="Quote"/>
    <w:basedOn w:val="Heading1"/>
    <w:link w:val="QuoteChar"/>
    <w:qFormat/>
    <w:rsid w:val="00B84A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4A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4AB0"/>
    <w:pPr>
      <w:pageBreakBefore/>
    </w:pPr>
  </w:style>
  <w:style w:type="paragraph" w:customStyle="1" w:styleId="Border">
    <w:name w:val="Border"/>
    <w:basedOn w:val="Normal"/>
    <w:qFormat/>
    <w:rsid w:val="00B84A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4A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4A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4A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4A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4A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4A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4A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4A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4AB0"/>
    <w:rPr>
      <w:u w:val="single"/>
    </w:rPr>
  </w:style>
  <w:style w:type="character" w:customStyle="1" w:styleId="BoldandItalics">
    <w:name w:val="Bold and Italics"/>
    <w:qFormat/>
    <w:rsid w:val="00B84AB0"/>
    <w:rPr>
      <w:b/>
      <w:i/>
      <w:u w:val="none"/>
    </w:rPr>
  </w:style>
  <w:style w:type="paragraph" w:styleId="BalloonText">
    <w:name w:val="Balloon Text"/>
    <w:basedOn w:val="Normal"/>
    <w:link w:val="BalloonTextChar"/>
    <w:rsid w:val="00B84A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4A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4A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4A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4A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4A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4AB0"/>
    <w:pPr>
      <w:spacing w:before="0" w:after="0"/>
    </w:pPr>
  </w:style>
  <w:style w:type="paragraph" w:customStyle="1" w:styleId="BodyTextBold">
    <w:name w:val="Body Text Bold"/>
    <w:basedOn w:val="BodyText"/>
    <w:qFormat/>
    <w:rsid w:val="00B84AB0"/>
    <w:rPr>
      <w:b/>
    </w:rPr>
  </w:style>
  <w:style w:type="character" w:styleId="Hyperlink">
    <w:name w:val="Hyperlink"/>
    <w:basedOn w:val="DefaultParagraphFont"/>
    <w:uiPriority w:val="99"/>
    <w:unhideWhenUsed/>
    <w:rsid w:val="00572C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362</Words>
  <Characters>2662</Characters>
  <Application>Microsoft Office Word</Application>
  <DocSecurity>0</DocSecurity>
  <Lines>71</Lines>
  <Paragraphs>59</Paragraphs>
  <ScaleCrop>false</ScaleCrop>
  <Company>Author-it Software Corporation Ltd.</Company>
  <LinksUpToDate>false</LinksUpToDate>
  <CharactersWithSpaces>2965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CPCCBC4026 Arrange building applications and approvals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2025-02-11T06:07:00Z</dcterms:created>
  <dcterms:modified xsi:type="dcterms:W3CDTF">2025-02-11T06:07:00Z</dcterms:modified>
</cp:coreProperties>
</file>