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96B" w:rsidP="00F549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CPCCBC4024 Resolve business disputes</w:t>
      </w:r>
      <w:r>
        <w:fldChar w:fldCharType="end"/>
      </w:r>
    </w:p>
    <w:p w:rsidR="00F5496B" w:rsidP="00F5496B">
      <w:pPr>
        <w:pStyle w:val="Version"/>
        <w:sectPr w:rsidSect="006321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3219B" w:rsidP="0063219B">
      <w:pPr>
        <w:pStyle w:val="SuperHeading"/>
      </w:pPr>
      <w:r w:rsidRPr="0063219B">
        <w:t>Assessment Requirements for CPCCBC4024 Resolve business disputes</w:t>
      </w:r>
    </w:p>
    <w:p w:rsidR="00000000" w:rsidRPr="0063219B" w:rsidP="0063219B">
      <w:pPr>
        <w:pStyle w:val="Heading1"/>
      </w:pPr>
      <w:bookmarkStart w:id="1" w:name="O_1292200"/>
      <w:bookmarkEnd w:id="1"/>
      <w:r w:rsidRPr="006321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3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19B">
            <w:pPr>
              <w:pStyle w:val="BodyText"/>
              <w:rPr>
                <w:lang w:val="en-NZ"/>
              </w:rPr>
            </w:pPr>
            <w:r w:rsidRPr="0063219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19B">
            <w:pPr>
              <w:pStyle w:val="BodyText"/>
              <w:rPr>
                <w:lang w:val="en-NZ"/>
              </w:rPr>
            </w:pPr>
            <w:r w:rsidRPr="0063219B">
              <w:t>Updated reference to general construction induction training program.</w:t>
            </w:r>
          </w:p>
        </w:tc>
      </w:tr>
      <w:tr w:rsidTr="006321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19B">
            <w:pPr>
              <w:pStyle w:val="BodyText"/>
              <w:rPr>
                <w:lang w:val="en-NZ"/>
              </w:rPr>
            </w:pPr>
            <w:r w:rsidRPr="0063219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19B" w:rsidP="0063219B">
            <w:pPr>
              <w:pStyle w:val="BodyText"/>
            </w:pPr>
            <w:r w:rsidRPr="0063219B">
              <w:t>This version first released with CPC Construction, Plumbing and Services Training Package Release 5.0.</w:t>
            </w:r>
          </w:p>
          <w:p w:rsidR="00000000" w:rsidRPr="0063219B" w:rsidP="0063219B">
            <w:pPr>
              <w:pStyle w:val="BodyText"/>
            </w:pPr>
            <w:r w:rsidRPr="0063219B">
              <w:t>Supersedes and is equivalent to CPCCBC4024A Resolve business disputes.  Updated to meet the Standards for Training Packages 2012.</w:t>
            </w:r>
          </w:p>
        </w:tc>
      </w:tr>
    </w:tbl>
    <w:p w:rsidR="00000000" w:rsidRPr="0063219B" w:rsidP="0063219B">
      <w:pPr>
        <w:pStyle w:val="BodyText"/>
      </w:pPr>
    </w:p>
    <w:p w:rsidR="00000000" w:rsidRPr="0063219B" w:rsidP="0063219B">
      <w:pPr>
        <w:pStyle w:val="AllowPageBreak"/>
      </w:pPr>
    </w:p>
    <w:p w:rsidR="00000000" w:rsidRPr="0063219B" w:rsidP="0063219B">
      <w:pPr>
        <w:pStyle w:val="Heading1"/>
      </w:pPr>
      <w:bookmarkStart w:id="2" w:name="O_1292199"/>
      <w:bookmarkEnd w:id="2"/>
      <w:r w:rsidRPr="0063219B">
        <w:t>Pe</w:t>
      </w:r>
      <w:r w:rsidRPr="0063219B">
        <w:t>rformance Evidence</w:t>
      </w:r>
    </w:p>
    <w:p w:rsidR="00000000" w:rsidRPr="0063219B" w:rsidP="00F5496B">
      <w:pPr>
        <w:pStyle w:val="BodyText"/>
      </w:pPr>
      <w:r w:rsidRPr="0063219B">
        <w:t xml:space="preserve">To demonstrate competency in this unit, a candidate must meet the elements and performance criteria of this unit by resolving one construction project dispute. </w:t>
      </w:r>
    </w:p>
    <w:p w:rsidR="00000000" w:rsidRPr="0063219B" w:rsidP="00F5496B">
      <w:pPr>
        <w:pStyle w:val="BodyText"/>
      </w:pPr>
      <w:r w:rsidRPr="0063219B">
        <w:t>In doing this, the candidate must:</w:t>
      </w:r>
    </w:p>
    <w:p w:rsidR="00000000" w:rsidRPr="0063219B" w:rsidP="0063219B">
      <w:pPr>
        <w:pStyle w:val="ListBullet"/>
      </w:pPr>
      <w:r w:rsidRPr="0063219B">
        <w:t>identify the nature of the dispute and i</w:t>
      </w:r>
      <w:r w:rsidRPr="0063219B">
        <w:t>dentify the parties in the dispute</w:t>
      </w:r>
    </w:p>
    <w:p w:rsidR="00000000" w:rsidRPr="0063219B" w:rsidP="0063219B">
      <w:pPr>
        <w:pStyle w:val="ListBullet"/>
      </w:pPr>
      <w:r w:rsidRPr="0063219B">
        <w:t xml:space="preserve">document dispute details accurately and in sufficient terms to eliminate any ambiguity </w:t>
      </w:r>
    </w:p>
    <w:p w:rsidR="00000000" w:rsidRPr="0063219B" w:rsidP="0063219B">
      <w:pPr>
        <w:pStyle w:val="ListBullet"/>
      </w:pPr>
      <w:r w:rsidRPr="0063219B">
        <w:t>follow established dispute resolution procedures and develop and implement dispute resolution procedures where none are established</w:t>
      </w:r>
    </w:p>
    <w:p w:rsidR="00000000" w:rsidRPr="0063219B" w:rsidP="0063219B">
      <w:pPr>
        <w:pStyle w:val="ListBullet"/>
      </w:pPr>
      <w:r w:rsidRPr="0063219B">
        <w:t>maintain impartiality throughout the dispute resolution process.</w:t>
      </w:r>
    </w:p>
    <w:p w:rsidR="00000000" w:rsidRPr="0063219B" w:rsidP="0063219B">
      <w:pPr>
        <w:pStyle w:val="AllowPageBreak"/>
      </w:pPr>
    </w:p>
    <w:p w:rsidR="00000000" w:rsidRPr="0063219B" w:rsidP="0063219B">
      <w:pPr>
        <w:pStyle w:val="Heading1"/>
      </w:pPr>
      <w:bookmarkStart w:id="3" w:name="O_1292198"/>
      <w:bookmarkEnd w:id="3"/>
      <w:r w:rsidRPr="0063219B">
        <w:t>Knowledge Evidence</w:t>
      </w:r>
    </w:p>
    <w:p w:rsidR="00000000" w:rsidRPr="0063219B" w:rsidP="00F5496B">
      <w:pPr>
        <w:pStyle w:val="BodyText"/>
      </w:pPr>
      <w:r w:rsidRPr="0063219B">
        <w:t>To be competent in this unit, a candidate must demonstrate knowledge of:</w:t>
      </w:r>
    </w:p>
    <w:p w:rsidR="00000000" w:rsidRPr="0063219B" w:rsidP="0063219B">
      <w:pPr>
        <w:pStyle w:val="ListBullet"/>
      </w:pPr>
      <w:r w:rsidRPr="0063219B">
        <w:t xml:space="preserve">contractual and business frameworks underpinning the building and construction </w:t>
      </w:r>
      <w:r w:rsidRPr="0063219B">
        <w:t>industry</w:t>
      </w:r>
    </w:p>
    <w:p w:rsidR="00000000" w:rsidRPr="0063219B" w:rsidP="0063219B">
      <w:pPr>
        <w:pStyle w:val="ListBullet"/>
      </w:pPr>
      <w:r w:rsidRPr="0063219B">
        <w:t>legislation and other guidelines:</w:t>
      </w:r>
    </w:p>
    <w:p w:rsidR="00000000" w:rsidRPr="0063219B" w:rsidP="0063219B">
      <w:pPr>
        <w:pStyle w:val="ListBullet2"/>
      </w:pPr>
      <w:r w:rsidRPr="0063219B">
        <w:t>common law</w:t>
      </w:r>
    </w:p>
    <w:p w:rsidR="00000000" w:rsidRPr="0063219B" w:rsidP="0063219B">
      <w:pPr>
        <w:pStyle w:val="ListBullet2"/>
      </w:pPr>
      <w:r w:rsidRPr="0063219B">
        <w:t>consumer law</w:t>
      </w:r>
    </w:p>
    <w:p w:rsidR="00000000" w:rsidRPr="0063219B" w:rsidP="0063219B">
      <w:pPr>
        <w:pStyle w:val="ListBullet2"/>
      </w:pPr>
      <w:r w:rsidRPr="0063219B">
        <w:t>contract law</w:t>
      </w:r>
    </w:p>
    <w:p w:rsidR="00000000" w:rsidRPr="0063219B" w:rsidP="0063219B">
      <w:pPr>
        <w:pStyle w:val="ListBullet2"/>
      </w:pPr>
      <w:r w:rsidRPr="0063219B">
        <w:t>government dispute resolution guidelines</w:t>
      </w:r>
    </w:p>
    <w:p w:rsidR="00000000" w:rsidRPr="0063219B" w:rsidP="0063219B">
      <w:pPr>
        <w:pStyle w:val="ListBullet2"/>
      </w:pPr>
      <w:r w:rsidRPr="0063219B">
        <w:t>privacy</w:t>
      </w:r>
    </w:p>
    <w:p w:rsidR="00000000" w:rsidRPr="0063219B" w:rsidP="0063219B">
      <w:pPr>
        <w:pStyle w:val="ListBullet"/>
      </w:pPr>
      <w:r w:rsidRPr="0063219B">
        <w:t>dispute resolution and conflict theory</w:t>
      </w:r>
    </w:p>
    <w:p w:rsidR="00000000" w:rsidRPr="0063219B" w:rsidP="0063219B">
      <w:pPr>
        <w:pStyle w:val="ListBullet"/>
      </w:pPr>
      <w:r w:rsidRPr="0063219B">
        <w:t>risk assessment and evaluation strategies</w:t>
      </w:r>
    </w:p>
    <w:p w:rsidR="00000000" w:rsidRPr="0063219B" w:rsidP="0063219B">
      <w:pPr>
        <w:pStyle w:val="ListBullet"/>
      </w:pPr>
      <w:r w:rsidRPr="0063219B">
        <w:t>negotiating processes and strategies</w:t>
      </w:r>
    </w:p>
    <w:p w:rsidR="00000000" w:rsidRPr="0063219B" w:rsidP="0063219B">
      <w:pPr>
        <w:pStyle w:val="ListBullet"/>
      </w:pPr>
      <w:r w:rsidRPr="0063219B">
        <w:t>industry dispute resolution guidelines</w:t>
      </w:r>
    </w:p>
    <w:p w:rsidR="00000000" w:rsidRPr="0063219B" w:rsidP="0063219B">
      <w:pPr>
        <w:pStyle w:val="ListBullet"/>
      </w:pPr>
      <w:r w:rsidRPr="0063219B">
        <w:t>organisational policies and procedures</w:t>
      </w:r>
    </w:p>
    <w:p w:rsidR="00000000" w:rsidRPr="0063219B" w:rsidP="0063219B">
      <w:pPr>
        <w:pStyle w:val="ListBullet"/>
      </w:pPr>
      <w:r w:rsidRPr="0063219B">
        <w:t>values and attitudes of various groups in the community that should be accounted for in discussions</w:t>
      </w:r>
    </w:p>
    <w:p w:rsidR="00000000" w:rsidRPr="0063219B" w:rsidP="0063219B">
      <w:pPr>
        <w:pStyle w:val="ListBullet"/>
      </w:pPr>
      <w:r w:rsidRPr="0063219B">
        <w:t>possible reactions and behaviours from persons in a dispute situation</w:t>
      </w:r>
    </w:p>
    <w:p w:rsidR="00000000" w:rsidRPr="0063219B" w:rsidP="0063219B">
      <w:pPr>
        <w:pStyle w:val="ListBullet"/>
      </w:pPr>
      <w:r w:rsidRPr="0063219B">
        <w:t xml:space="preserve">dispute </w:t>
      </w:r>
      <w:r w:rsidRPr="0063219B">
        <w:t xml:space="preserve">resolution procedures: </w:t>
      </w:r>
      <w:r w:rsidRPr="0063219B">
        <w:tab/>
      </w:r>
    </w:p>
    <w:p w:rsidR="00000000" w:rsidRPr="0063219B" w:rsidP="0063219B">
      <w:pPr>
        <w:pStyle w:val="ListBullet2"/>
      </w:pPr>
      <w:r w:rsidRPr="0063219B">
        <w:t>mutual resolution</w:t>
      </w:r>
    </w:p>
    <w:p w:rsidR="00000000" w:rsidRPr="0063219B" w:rsidP="0063219B">
      <w:pPr>
        <w:pStyle w:val="ListBullet2"/>
      </w:pPr>
      <w:r w:rsidRPr="0063219B">
        <w:t>on-site negotiations</w:t>
      </w:r>
    </w:p>
    <w:p w:rsidR="00000000" w:rsidRPr="0063219B" w:rsidP="0063219B">
      <w:pPr>
        <w:pStyle w:val="ListBullet2"/>
      </w:pPr>
      <w:r w:rsidRPr="0063219B">
        <w:t>reference to contractual obligations</w:t>
      </w:r>
    </w:p>
    <w:p w:rsidR="00000000" w:rsidRPr="0063219B" w:rsidP="0063219B">
      <w:pPr>
        <w:pStyle w:val="ListBullet2"/>
      </w:pPr>
      <w:r w:rsidRPr="0063219B">
        <w:t xml:space="preserve">arbitrated decisions </w:t>
      </w:r>
    </w:p>
    <w:p w:rsidR="00000000" w:rsidRPr="0063219B" w:rsidP="0063219B">
      <w:pPr>
        <w:pStyle w:val="ListBullet2"/>
      </w:pPr>
      <w:r w:rsidRPr="0063219B">
        <w:t>common law outcomes</w:t>
      </w:r>
    </w:p>
    <w:p w:rsidR="00000000" w:rsidRPr="0063219B" w:rsidP="0063219B">
      <w:pPr>
        <w:pStyle w:val="ListBullet2"/>
      </w:pPr>
      <w:r w:rsidRPr="0063219B">
        <w:t>litigated decisions</w:t>
      </w:r>
    </w:p>
    <w:p w:rsidR="00000000" w:rsidRPr="0063219B" w:rsidP="0063219B">
      <w:pPr>
        <w:pStyle w:val="ListBullet"/>
      </w:pPr>
      <w:r w:rsidRPr="0063219B">
        <w:t xml:space="preserve">causes of business disputes: </w:t>
      </w:r>
      <w:r w:rsidRPr="0063219B">
        <w:tab/>
      </w:r>
    </w:p>
    <w:p w:rsidR="00000000" w:rsidRPr="0063219B" w:rsidP="0063219B">
      <w:pPr>
        <w:pStyle w:val="ListBullet2"/>
      </w:pPr>
      <w:r w:rsidRPr="0063219B">
        <w:t>contract payment issues</w:t>
      </w:r>
    </w:p>
    <w:p w:rsidR="00000000" w:rsidRPr="0063219B" w:rsidP="0063219B">
      <w:pPr>
        <w:pStyle w:val="ListBullet2"/>
      </w:pPr>
      <w:r w:rsidRPr="0063219B">
        <w:t>different opinions about design, structural layout or dimensions</w:t>
      </w:r>
    </w:p>
    <w:p w:rsidR="00000000" w:rsidRPr="0063219B" w:rsidP="0063219B">
      <w:pPr>
        <w:pStyle w:val="ListBullet2"/>
      </w:pPr>
      <w:r w:rsidRPr="0063219B">
        <w:t>dissatisfaction with project progress</w:t>
      </w:r>
    </w:p>
    <w:p w:rsidR="00000000" w:rsidRPr="0063219B" w:rsidP="0063219B">
      <w:pPr>
        <w:pStyle w:val="ListBullet2"/>
      </w:pPr>
      <w:r w:rsidRPr="0063219B">
        <w:t>structural finish, quality, materials or construction methodology</w:t>
      </w:r>
    </w:p>
    <w:p w:rsidR="00000000" w:rsidRPr="0063219B" w:rsidP="0063219B">
      <w:pPr>
        <w:pStyle w:val="ListBullet"/>
      </w:pPr>
      <w:r w:rsidRPr="0063219B">
        <w:t>digital tools and devices to communicate and collaborate effectively with others</w:t>
      </w:r>
    </w:p>
    <w:p w:rsidR="00000000" w:rsidRPr="0063219B" w:rsidP="0063219B">
      <w:pPr>
        <w:pStyle w:val="ListBullet"/>
      </w:pPr>
      <w:r w:rsidRPr="0063219B">
        <w:t>a ran</w:t>
      </w:r>
      <w:r w:rsidRPr="0063219B">
        <w:t>ge of digitally-based technology and applications to access, extract integrate and compile information.</w:t>
      </w:r>
    </w:p>
    <w:p w:rsidR="00000000" w:rsidRPr="0063219B" w:rsidP="0063219B">
      <w:pPr>
        <w:pStyle w:val="AllowPageBreak"/>
      </w:pPr>
    </w:p>
    <w:p w:rsidR="00000000" w:rsidRPr="0063219B" w:rsidP="0063219B">
      <w:pPr>
        <w:pStyle w:val="Heading1"/>
      </w:pPr>
      <w:bookmarkStart w:id="4" w:name="O_1292197"/>
      <w:bookmarkEnd w:id="4"/>
      <w:r w:rsidRPr="0063219B">
        <w:t>Assessment Conditions</w:t>
      </w:r>
    </w:p>
    <w:p w:rsidR="00000000" w:rsidRPr="0063219B" w:rsidP="00F5496B">
      <w:pPr>
        <w:pStyle w:val="BodyText"/>
      </w:pPr>
      <w:r w:rsidRPr="0063219B">
        <w:t>Assessors must satisfy the requirements for assessors listed in the Standards for Registered Training Organisat</w:t>
      </w:r>
      <w:r w:rsidRPr="0063219B">
        <w:t xml:space="preserve">ions. </w:t>
      </w:r>
    </w:p>
    <w:p w:rsidR="00000000" w:rsidRPr="0063219B" w:rsidP="00F5496B">
      <w:pPr>
        <w:pStyle w:val="BodyText"/>
      </w:pPr>
      <w:r w:rsidRPr="0063219B">
        <w:t xml:space="preserve">Assessment can be undertaken in the workplace or in a simulated workplace environment. </w:t>
      </w:r>
    </w:p>
    <w:p w:rsidR="00000000" w:rsidRPr="0063219B" w:rsidP="00F5496B">
      <w:pPr>
        <w:pStyle w:val="BodyText"/>
      </w:pPr>
      <w:r w:rsidRPr="0063219B">
        <w:t>A simulated environment is one that realistically replicates workplace conditions, materials and equipment, interactions with others and workplace irregularities, and which meets industry standards for safety and environmental practices.</w:t>
      </w:r>
    </w:p>
    <w:p w:rsidR="00000000" w:rsidRPr="0063219B" w:rsidP="00F5496B">
      <w:pPr>
        <w:pStyle w:val="BodyText"/>
      </w:pPr>
      <w:r w:rsidRPr="0063219B">
        <w:t>Candidates must ha</w:t>
      </w:r>
      <w:r w:rsidRPr="0063219B">
        <w:t>ve access to:</w:t>
      </w:r>
    </w:p>
    <w:p w:rsidR="00000000" w:rsidRPr="0063219B" w:rsidP="0063219B">
      <w:pPr>
        <w:pStyle w:val="ListBullet"/>
      </w:pPr>
      <w:r w:rsidRPr="0063219B">
        <w:t>current building and construction codes and standards</w:t>
      </w:r>
    </w:p>
    <w:p w:rsidR="00000000" w:rsidRPr="0063219B" w:rsidP="0063219B">
      <w:pPr>
        <w:pStyle w:val="ListBullet"/>
      </w:pPr>
      <w:r w:rsidRPr="0063219B">
        <w:t xml:space="preserve">contracts, construction drawings and specifications </w:t>
      </w:r>
    </w:p>
    <w:p w:rsidR="00000000" w:rsidRPr="0063219B" w:rsidP="0063219B">
      <w:pPr>
        <w:pStyle w:val="ListBullet"/>
      </w:pPr>
      <w:r w:rsidRPr="0063219B">
        <w:t>relevant government legislation and other quality documentation to undertake the performance criteria and assessment requirements</w:t>
      </w:r>
    </w:p>
    <w:p w:rsidR="00000000" w:rsidRPr="0063219B" w:rsidP="0063219B">
      <w:pPr>
        <w:pStyle w:val="ListBullet"/>
      </w:pPr>
      <w:r w:rsidRPr="0063219B">
        <w:t>digi</w:t>
      </w:r>
      <w:r w:rsidRPr="0063219B">
        <w:t>tal devices, applications and software to receive, record and save dispute information electronically.</w:t>
      </w:r>
    </w:p>
    <w:p w:rsidR="00000000" w:rsidRPr="0063219B" w:rsidP="0063219B">
      <w:pPr>
        <w:pStyle w:val="AllowPageBreak"/>
      </w:pPr>
    </w:p>
    <w:p w:rsidR="00000000" w:rsidRPr="0063219B" w:rsidP="0063219B">
      <w:pPr>
        <w:pStyle w:val="Heading1"/>
      </w:pPr>
      <w:bookmarkStart w:id="5" w:name="O_1292210"/>
      <w:bookmarkEnd w:id="5"/>
      <w:r w:rsidRPr="0063219B">
        <w:t>Links</w:t>
      </w:r>
    </w:p>
    <w:p w:rsidR="00000000" w:rsidRPr="0063219B" w:rsidP="00F5496B">
      <w:pPr>
        <w:pStyle w:val="BodyText"/>
      </w:pPr>
      <w:r w:rsidRPr="0063219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D69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3219B" w:rsidP="0063219B"/>
    <w:sectPr w:rsidSect="006321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9B" w:rsidRPr="00F5496B" w:rsidP="00F549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B" w:rsidP="006321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496B" w:rsidP="006321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5496B" w:rsidP="006321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19B" w:rsidRPr="00F5496B" w:rsidP="00F549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1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96B" w:rsidRPr="002D2AF8" w:rsidP="006321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CPCCBC4024 Resolve business disputes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5496B" w:rsidP="006321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9C33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087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8A4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1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1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1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1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1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1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1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1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1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1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1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19B"/>
  </w:style>
  <w:style w:type="character" w:customStyle="1" w:styleId="Heading1Char">
    <w:name w:val="Heading 1 Char"/>
    <w:basedOn w:val="DefaultParagraphFont"/>
    <w:link w:val="Heading1"/>
    <w:rsid w:val="006321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1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1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1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321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1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1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1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1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1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1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1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1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1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1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1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1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1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1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1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1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1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1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1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1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219B"/>
    <w:rPr>
      <w:b/>
      <w:spacing w:val="0"/>
    </w:rPr>
  </w:style>
  <w:style w:type="paragraph" w:customStyle="1" w:styleId="SuperTitle">
    <w:name w:val="SuperTitle"/>
    <w:basedOn w:val="Title"/>
    <w:rsid w:val="006321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1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1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1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1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1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1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1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1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1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1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1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19B"/>
    <w:rPr>
      <w:i/>
    </w:rPr>
  </w:style>
  <w:style w:type="paragraph" w:styleId="Caption">
    <w:name w:val="caption"/>
    <w:basedOn w:val="BodyText"/>
    <w:next w:val="Normal"/>
    <w:qFormat/>
    <w:rsid w:val="006321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1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1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19B"/>
  </w:style>
  <w:style w:type="paragraph" w:styleId="TableofFigures">
    <w:name w:val="table of figures"/>
    <w:basedOn w:val="Normal"/>
    <w:next w:val="Normal"/>
    <w:semiHidden/>
    <w:rsid w:val="006321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1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19B"/>
    <w:rPr>
      <w:rFonts w:ascii="Wingdings" w:hAnsi="Wingdings"/>
    </w:rPr>
  </w:style>
  <w:style w:type="paragraph" w:customStyle="1" w:styleId="TableHeading">
    <w:name w:val="Table Heading"/>
    <w:basedOn w:val="HeadingBase"/>
    <w:rsid w:val="006321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19B"/>
    <w:rPr>
      <w:color w:val="0033CC"/>
      <w:u w:val="none"/>
    </w:rPr>
  </w:style>
  <w:style w:type="paragraph" w:customStyle="1" w:styleId="BodyTextRight">
    <w:name w:val="Body Text Right"/>
    <w:basedOn w:val="BodyText"/>
    <w:rsid w:val="006321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1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1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1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1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1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19B"/>
    <w:rPr>
      <w:sz w:val="32"/>
    </w:rPr>
  </w:style>
  <w:style w:type="paragraph" w:customStyle="1" w:styleId="HeadingProcedure">
    <w:name w:val="Heading Procedure"/>
    <w:basedOn w:val="HeadingBase"/>
    <w:next w:val="Normal"/>
    <w:rsid w:val="006321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19B"/>
    <w:pPr>
      <w:spacing w:before="60" w:after="60"/>
    </w:pPr>
  </w:style>
  <w:style w:type="paragraph" w:styleId="ListContinue">
    <w:name w:val="List Continue"/>
    <w:basedOn w:val="List"/>
    <w:rsid w:val="0063219B"/>
    <w:pPr>
      <w:ind w:firstLine="0"/>
    </w:pPr>
  </w:style>
  <w:style w:type="paragraph" w:customStyle="1" w:styleId="ListNote">
    <w:name w:val="List Note"/>
    <w:basedOn w:val="List"/>
    <w:rsid w:val="006321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1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1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19B"/>
    <w:rPr>
      <w:rFonts w:ascii="Courier New" w:hAnsi="Courier New"/>
    </w:rPr>
  </w:style>
  <w:style w:type="paragraph" w:customStyle="1" w:styleId="NoteBullet">
    <w:name w:val="Note Bullet"/>
    <w:basedOn w:val="Note"/>
    <w:rsid w:val="006321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1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1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1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1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1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1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19B"/>
    <w:rPr>
      <w:b/>
      <w:smallCaps/>
    </w:rPr>
  </w:style>
  <w:style w:type="paragraph" w:customStyle="1" w:styleId="TableListNumber">
    <w:name w:val="Table List Number"/>
    <w:basedOn w:val="ListNumber"/>
    <w:rsid w:val="006321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1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19B"/>
    <w:pPr>
      <w:numPr>
        <w:numId w:val="9"/>
      </w:numPr>
    </w:pPr>
  </w:style>
  <w:style w:type="paragraph" w:customStyle="1" w:styleId="ListAlpha2">
    <w:name w:val="List Alpha 2"/>
    <w:basedOn w:val="List2"/>
    <w:rsid w:val="0063219B"/>
    <w:pPr>
      <w:numPr>
        <w:numId w:val="8"/>
      </w:numPr>
    </w:pPr>
  </w:style>
  <w:style w:type="paragraph" w:styleId="List2">
    <w:name w:val="List 2"/>
    <w:basedOn w:val="BodyText"/>
    <w:rsid w:val="006321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1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1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1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1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1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19B"/>
    <w:pPr>
      <w:numPr>
        <w:numId w:val="4"/>
      </w:numPr>
    </w:pPr>
  </w:style>
  <w:style w:type="paragraph" w:styleId="ListContinue2">
    <w:name w:val="List Continue 2"/>
    <w:basedOn w:val="List2"/>
    <w:rsid w:val="0063219B"/>
    <w:pPr>
      <w:ind w:firstLine="0"/>
    </w:pPr>
  </w:style>
  <w:style w:type="paragraph" w:styleId="ListContinue3">
    <w:name w:val="List Continue 3"/>
    <w:basedOn w:val="List3"/>
    <w:rsid w:val="0063219B"/>
    <w:pPr>
      <w:ind w:left="1021" w:firstLine="0"/>
    </w:pPr>
  </w:style>
  <w:style w:type="paragraph" w:styleId="ListContinue4">
    <w:name w:val="List Continue 4"/>
    <w:basedOn w:val="List4"/>
    <w:rsid w:val="0063219B"/>
    <w:pPr>
      <w:ind w:firstLine="0"/>
    </w:pPr>
  </w:style>
  <w:style w:type="paragraph" w:styleId="ListContinue5">
    <w:name w:val="List Continue 5"/>
    <w:basedOn w:val="List5"/>
    <w:rsid w:val="0063219B"/>
    <w:pPr>
      <w:ind w:firstLine="0"/>
    </w:pPr>
  </w:style>
  <w:style w:type="paragraph" w:styleId="ListNumber3">
    <w:name w:val="List Number 3"/>
    <w:basedOn w:val="List3"/>
    <w:rsid w:val="0063219B"/>
    <w:pPr>
      <w:numPr>
        <w:numId w:val="5"/>
      </w:numPr>
    </w:pPr>
  </w:style>
  <w:style w:type="paragraph" w:styleId="ListNumber4">
    <w:name w:val="List Number 4"/>
    <w:basedOn w:val="List4"/>
    <w:rsid w:val="0063219B"/>
    <w:pPr>
      <w:numPr>
        <w:numId w:val="6"/>
      </w:numPr>
    </w:pPr>
  </w:style>
  <w:style w:type="paragraph" w:styleId="ListNumber5">
    <w:name w:val="List Number 5"/>
    <w:basedOn w:val="List5"/>
    <w:rsid w:val="0063219B"/>
    <w:pPr>
      <w:numPr>
        <w:numId w:val="7"/>
      </w:numPr>
    </w:pPr>
  </w:style>
  <w:style w:type="paragraph" w:styleId="BlockText">
    <w:name w:val="Block Text"/>
    <w:basedOn w:val="Normal"/>
    <w:rsid w:val="006321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1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19B"/>
    <w:rPr>
      <w:sz w:val="16"/>
      <w:vertAlign w:val="superscript"/>
    </w:rPr>
  </w:style>
  <w:style w:type="character" w:customStyle="1" w:styleId="Symbols">
    <w:name w:val="Symbols"/>
    <w:basedOn w:val="DefaultParagraphFont"/>
    <w:rsid w:val="0063219B"/>
    <w:rPr>
      <w:rFonts w:ascii="Symbol" w:hAnsi="Symbol"/>
    </w:rPr>
  </w:style>
  <w:style w:type="character" w:customStyle="1" w:styleId="MenuOptions">
    <w:name w:val="Menu Options"/>
    <w:basedOn w:val="DefaultParagraphFont"/>
    <w:rsid w:val="006321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19B"/>
    <w:rPr>
      <w:b/>
    </w:rPr>
  </w:style>
  <w:style w:type="character" w:customStyle="1" w:styleId="Underlined">
    <w:name w:val="Underlined"/>
    <w:basedOn w:val="DefaultParagraphFont"/>
    <w:rsid w:val="0063219B"/>
    <w:rPr>
      <w:u w:val="single"/>
    </w:rPr>
  </w:style>
  <w:style w:type="paragraph" w:customStyle="1" w:styleId="TableBodyTextRight">
    <w:name w:val="Table Body Text Right"/>
    <w:basedOn w:val="TableBodyText"/>
    <w:rsid w:val="006321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19B"/>
    <w:rPr>
      <w:sz w:val="18"/>
    </w:rPr>
  </w:style>
  <w:style w:type="paragraph" w:customStyle="1" w:styleId="BodySmallRight">
    <w:name w:val="Body Small Right"/>
    <w:basedOn w:val="BodyTextRight"/>
    <w:rsid w:val="0063219B"/>
    <w:rPr>
      <w:sz w:val="18"/>
      <w:szCs w:val="18"/>
    </w:rPr>
  </w:style>
  <w:style w:type="paragraph" w:customStyle="1" w:styleId="MarginEdition">
    <w:name w:val="Margin Edition"/>
    <w:basedOn w:val="MarginNote"/>
    <w:rsid w:val="006321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19B"/>
    <w:rPr>
      <w:sz w:val="2"/>
      <w:szCs w:val="2"/>
    </w:rPr>
  </w:style>
  <w:style w:type="character" w:customStyle="1" w:styleId="Small">
    <w:name w:val="Small"/>
    <w:basedOn w:val="DefaultParagraphFont"/>
    <w:rsid w:val="0063219B"/>
    <w:rPr>
      <w:sz w:val="16"/>
    </w:rPr>
  </w:style>
  <w:style w:type="paragraph" w:customStyle="1" w:styleId="WideTable">
    <w:name w:val="Wide Table"/>
    <w:basedOn w:val="Normal"/>
    <w:rsid w:val="006321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19B"/>
  </w:style>
  <w:style w:type="paragraph" w:styleId="Quote">
    <w:name w:val="Quote"/>
    <w:basedOn w:val="Heading1"/>
    <w:link w:val="QuoteChar"/>
    <w:qFormat/>
    <w:rsid w:val="006321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1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19B"/>
    <w:pPr>
      <w:pageBreakBefore/>
    </w:pPr>
  </w:style>
  <w:style w:type="paragraph" w:customStyle="1" w:styleId="Border">
    <w:name w:val="Border"/>
    <w:basedOn w:val="Normal"/>
    <w:qFormat/>
    <w:rsid w:val="006321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1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1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1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1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1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1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1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1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19B"/>
    <w:rPr>
      <w:u w:val="single"/>
    </w:rPr>
  </w:style>
  <w:style w:type="character" w:customStyle="1" w:styleId="BoldandItalics">
    <w:name w:val="Bold and Italics"/>
    <w:qFormat/>
    <w:rsid w:val="0063219B"/>
    <w:rPr>
      <w:b/>
      <w:i/>
      <w:u w:val="none"/>
    </w:rPr>
  </w:style>
  <w:style w:type="paragraph" w:styleId="BalloonText">
    <w:name w:val="Balloon Text"/>
    <w:basedOn w:val="Normal"/>
    <w:link w:val="BalloonTextChar"/>
    <w:rsid w:val="00632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1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1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1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1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1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19B"/>
    <w:pPr>
      <w:spacing w:before="0" w:after="0"/>
    </w:pPr>
  </w:style>
  <w:style w:type="paragraph" w:customStyle="1" w:styleId="BodyTextBold">
    <w:name w:val="Body Text Bold"/>
    <w:basedOn w:val="BodyText"/>
    <w:qFormat/>
    <w:rsid w:val="0063219B"/>
    <w:rPr>
      <w:b/>
    </w:rPr>
  </w:style>
  <w:style w:type="character" w:styleId="Hyperlink">
    <w:name w:val="Hyperlink"/>
    <w:basedOn w:val="DefaultParagraphFont"/>
    <w:uiPriority w:val="99"/>
    <w:unhideWhenUsed/>
    <w:rsid w:val="00F549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436</Words>
  <Characters>3069</Characters>
  <Application>Microsoft Office Word</Application>
  <DocSecurity>0</DocSecurity>
  <Lines>80</Lines>
  <Paragraphs>67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CPCCBC4024 Resolve business disputes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