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080" w:rsidP="00F80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CPCCBC4022 Supervise tilt-up work</w:t>
      </w:r>
      <w:r>
        <w:fldChar w:fldCharType="end"/>
      </w:r>
    </w:p>
    <w:p w:rsidR="00F80080" w:rsidP="00F80080">
      <w:pPr>
        <w:pStyle w:val="Version"/>
        <w:sectPr w:rsidSect="003D7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D71DA" w:rsidP="003D71DA">
      <w:pPr>
        <w:pStyle w:val="SuperHeading"/>
      </w:pPr>
      <w:r w:rsidRPr="003D71DA">
        <w:t>CPCCBC4022 Supervise tilt-up work</w:t>
      </w:r>
    </w:p>
    <w:p w:rsidR="00000000" w:rsidRPr="003D71DA" w:rsidP="003D71DA">
      <w:pPr>
        <w:pStyle w:val="Heading1"/>
      </w:pPr>
      <w:bookmarkStart w:id="1" w:name="O_1292160"/>
      <w:bookmarkEnd w:id="1"/>
      <w:r w:rsidRPr="003D7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Updated reference to general construction induction training program.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DA" w:rsidP="003D71DA">
            <w:pPr>
              <w:pStyle w:val="BodyText"/>
            </w:pPr>
            <w:r w:rsidRPr="003D71DA">
              <w:t>This version first released with CPC Construction, Plumbing and Services Training Package Release 5.1.</w:t>
            </w:r>
          </w:p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Weight corrected in Performance Evidence.</w:t>
            </w:r>
            <w:r w:rsidRPr="003D71DA">
              <w:t xml:space="preserve"> Formatting corrected in the Knowledge Evidence.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DA" w:rsidP="003D71DA">
            <w:pPr>
              <w:pStyle w:val="BodyText"/>
            </w:pPr>
            <w:r w:rsidRPr="003D71DA">
              <w:t>This version first released with CPC Construction, Plumbing and Services Training Package Release 5.0.</w:t>
            </w:r>
          </w:p>
          <w:p w:rsidR="00000000" w:rsidRPr="003D71DA" w:rsidP="003D71DA">
            <w:pPr>
              <w:pStyle w:val="BodyText"/>
            </w:pPr>
            <w:r w:rsidRPr="003D71DA">
              <w:t xml:space="preserve">Supersedes and is equivalent to CPCCBC4022A Supervise tilt-up work.  </w:t>
            </w:r>
            <w:r w:rsidRPr="003D71DA">
              <w:rPr>
                <w:rStyle w:val="Emphasis"/>
              </w:rPr>
              <w:t>Prior to final endorseme</w:t>
            </w:r>
            <w:r w:rsidRPr="003D71DA">
              <w:rPr>
                <w:rStyle w:val="Emphasis"/>
              </w:rPr>
              <w:t>nt of this unit of competency, the Construction IRC changed the weight in the Performance Evidence of the in-situ tilt slab from at least 10 tonnes to at least 6 tonnes. This change occurred to provide more flexible assessment conditions to suit industry.</w:t>
            </w:r>
          </w:p>
        </w:tc>
      </w:tr>
    </w:tbl>
    <w:p w:rsidR="00000000" w:rsidRPr="003D71DA" w:rsidP="003D71DA">
      <w:pPr>
        <w:pStyle w:val="BodyText"/>
      </w:pPr>
    </w:p>
    <w:p w:rsidR="00000000" w:rsidRPr="003D71DA" w:rsidP="003D71DA">
      <w:pPr>
        <w:pStyle w:val="AllowPageBreak"/>
      </w:pPr>
    </w:p>
    <w:p w:rsidR="00000000" w:rsidRPr="003D71DA" w:rsidP="003D71DA">
      <w:pPr>
        <w:pStyle w:val="Heading1"/>
      </w:pPr>
      <w:bookmarkStart w:id="2" w:name="O_1292159"/>
      <w:bookmarkEnd w:id="2"/>
      <w:r w:rsidRPr="003D71DA">
        <w:t>Application</w:t>
      </w:r>
    </w:p>
    <w:p w:rsidR="00000000" w:rsidRPr="003D71DA" w:rsidP="00F80080">
      <w:pPr>
        <w:pStyle w:val="BodyText"/>
      </w:pPr>
      <w:r w:rsidRPr="003D71DA">
        <w:t>This unit of competency specifies the skills and knowledge required to organise, coordinate and supervise tilt-up work on a construction site. It includes the application of safe work practices during the erection and tempo</w:t>
      </w:r>
      <w:r w:rsidRPr="003D71DA">
        <w:t>rary bracing of tilt-up pre-cast concrete panels.</w:t>
      </w:r>
    </w:p>
    <w:p w:rsidR="00000000" w:rsidRPr="003D71DA" w:rsidP="00F80080">
      <w:pPr>
        <w:pStyle w:val="BodyText"/>
      </w:pPr>
      <w:r w:rsidRPr="003D71DA">
        <w:t>This unit of competency applies to site supervisors and builders who have a sound understanding of licensing and competency requirements for crane operation, dogging and rigging and are responsible for plan</w:t>
      </w:r>
      <w:r w:rsidRPr="003D71DA">
        <w:t xml:space="preserve">ning, organising and supervising tilt-up work on a construction site. </w:t>
      </w:r>
    </w:p>
    <w:p w:rsidR="00000000" w:rsidRPr="003D71DA" w:rsidP="00F80080">
      <w:pPr>
        <w:pStyle w:val="BodyText"/>
      </w:pPr>
      <w:r w:rsidRPr="003D71DA">
        <w:t>Completion of the general construction induction training program specified by the model Code of Practice for Construction Work is required for any person who is to carry out constructi</w:t>
      </w:r>
      <w:r w:rsidRPr="003D71DA">
        <w:t xml:space="preserve">on work.  Achievement of </w:t>
      </w:r>
      <w:r w:rsidRPr="003D71DA">
        <w:rPr>
          <w:rStyle w:val="Emphasis"/>
        </w:rPr>
        <w:t>CPCWHS1001 Prepare to work safely in the construction industry</w:t>
      </w:r>
      <w:r w:rsidRPr="003D71DA">
        <w:t xml:space="preserve"> meets this requirement.</w:t>
      </w:r>
    </w:p>
    <w:p w:rsidR="00000000" w:rsidRPr="003D71DA" w:rsidP="00F80080">
      <w:pPr>
        <w:pStyle w:val="BodyText"/>
      </w:pPr>
      <w:r w:rsidRPr="003D71DA">
        <w:t>No licensing, legislative or certification requirements apply to this unit at the time of publication.</w:t>
      </w:r>
    </w:p>
    <w:p w:rsidR="00000000" w:rsidRPr="003D71DA" w:rsidP="003D71DA">
      <w:pPr>
        <w:pStyle w:val="Heading1"/>
      </w:pPr>
      <w:bookmarkStart w:id="3" w:name="O_1292158"/>
      <w:bookmarkEnd w:id="3"/>
      <w:r w:rsidRPr="003D71DA">
        <w:t>Pre-requisite Unit</w:t>
      </w:r>
    </w:p>
    <w:p w:rsidR="00000000" w:rsidRPr="003D71DA" w:rsidP="00F80080">
      <w:pPr>
        <w:pStyle w:val="BodyText"/>
      </w:pPr>
      <w:r w:rsidRPr="003D71DA">
        <w:t>Nil.</w:t>
      </w:r>
    </w:p>
    <w:p w:rsidR="00000000" w:rsidRPr="003D71DA" w:rsidP="003D71DA">
      <w:pPr>
        <w:pStyle w:val="Heading1"/>
      </w:pPr>
      <w:bookmarkStart w:id="4" w:name="O_1292157"/>
      <w:bookmarkEnd w:id="4"/>
      <w:r w:rsidRPr="003D71DA">
        <w:t>Unit Sector</w:t>
      </w:r>
    </w:p>
    <w:p w:rsidR="00000000" w:rsidRPr="003D71DA" w:rsidP="00F80080">
      <w:pPr>
        <w:pStyle w:val="BodyText"/>
      </w:pPr>
      <w:r w:rsidRPr="003D71DA">
        <w:t>Building and Construction</w:t>
      </w:r>
    </w:p>
    <w:p w:rsidR="00000000" w:rsidRPr="003D71DA" w:rsidP="003D71DA">
      <w:pPr>
        <w:pStyle w:val="Heading1"/>
      </w:pPr>
      <w:bookmarkStart w:id="5" w:name="O_1292156"/>
      <w:bookmarkEnd w:id="5"/>
      <w:r w:rsidRPr="003D71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Performance criteria describe what needs to be done to demonstrate achievement of the element.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Provide effective administration.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 xml:space="preserve">Read and interpret relevant project plans, details and specifications for tilt-up work. 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Store al</w:t>
            </w:r>
            <w:r w:rsidRPr="003D71DA">
              <w:t>l structural and design documents, pre-cast panel shop drawings, layout plans and other required documents on site.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Check licence and competency details of persons assigned to perform tilt-up work and ensure regulatory training requirements have bee</w:t>
            </w:r>
            <w:r w:rsidRPr="003D71DA">
              <w:t>n met.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Check mandatory licences and approvals required for tilt-up work are obtained.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 xml:space="preserve">Notify relevant regulatory authorities of work commencement and ensure the administration process is complete. 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Plan work and set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Prepare and implement a site-specific work health and safety (WHS) management plan and work plan and apply WHS risk control measures.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Provide site security, amenities, services and emergency/first aid facilities and prepare site procedures.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Develop traffic management and public safety plans and procedures and plan exclusion zones for concrete panel delivery, casting and erection operations.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Review and provide requirements for footings, structural elements, concrete slabs and site acces</w:t>
            </w:r>
            <w:r w:rsidRPr="003D71DA">
              <w:t>s roads for the tilt-up work.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Determine suitable onsite crane operating positions in consultation with crane suppliers and operators.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 xml:space="preserve">Identify ground conditions such as soak wells and drains likely to affect crane stability and check crane standing </w:t>
            </w:r>
            <w:r w:rsidRPr="003D71DA">
              <w:t>areas for strength and compaction.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Supervise and coordinate tilt-up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Check concrete panel inspection records to confirm design specifications have been followed during panel fabrication and manufacture.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Coordinate delivery sequence for concrete panels cast off site or coordinate a casting and curing schedule and dist</w:t>
            </w:r>
            <w:r w:rsidRPr="003D71DA">
              <w:t>ribution of panels on site.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Supervise placement and storage of concrete panels onsite and ensure it meets engineer</w:t>
            </w:r>
            <w:r>
              <w:t>’</w:t>
            </w:r>
            <w:r w:rsidRPr="003D71DA">
              <w:t>s requirements.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Put in place processes to ensure erection areas are cleared, exclusion zones set up, barriers erected, and site personnel advised of restricted access areas prior to erection of concrete panels.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 xml:space="preserve">Check fixings and anchor bolts supplied for temporary </w:t>
            </w:r>
            <w:r w:rsidRPr="003D71DA">
              <w:t>bracing are compliant with designer and engineer specifications.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Check correct type of braces, locating dowels and shims are correctly placed and components positioned and propped in accordance with shop drawings or as approved by the engineer.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 xml:space="preserve">Supervise workers and contractors during the erection of the concrete panels and ensure that safe systems of work and safe work practices are enforced and followed. 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Use job safety and environmental analysis (JSEA) and other tools to identify ha</w:t>
            </w:r>
            <w:r w:rsidRPr="003D71DA">
              <w:t>zards, assess risks and create safe systems in the event of unanticipated circumstances.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Confirm tilt-up stabilisation.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Check erected concrete panels for compliance with design and engineering specifications.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Check compliance of structural steel elements being fixed to the temporarily braced panels are in accordance with designed engineering specifications.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Inspect integrity of erected structure prior to removal of temporary bracing to ensure it meets en</w:t>
            </w:r>
            <w:r w:rsidRPr="003D71DA">
              <w:t>gineer certification.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Supervise the sequential removal of temporary bracing.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Oversee the safe removal of temporary bracing, plant and equipment from site.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Supervise the completion of the erection work and clearing and cleaning of wor</w:t>
            </w:r>
            <w:r w:rsidRPr="003D71DA">
              <w:t>k areas prior to other trades being permitted to enter work zones.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DA" w:rsidP="003D71DA">
            <w:pPr>
              <w:pStyle w:val="BodyText"/>
            </w:pPr>
            <w:r w:rsidRPr="003D71DA">
              <w:t>Notify relevant personnel of work completion and maintain site records to company requirements.</w:t>
            </w:r>
          </w:p>
        </w:tc>
      </w:tr>
    </w:tbl>
    <w:p w:rsidR="00000000" w:rsidRPr="003D71DA" w:rsidP="003D71DA">
      <w:pPr>
        <w:pStyle w:val="BodyText"/>
      </w:pPr>
    </w:p>
    <w:p w:rsidR="00000000" w:rsidRPr="003D71DA" w:rsidP="003D71DA">
      <w:pPr>
        <w:pStyle w:val="AllowPageBreak"/>
      </w:pPr>
    </w:p>
    <w:p w:rsidR="00000000" w:rsidRPr="003D71DA" w:rsidP="003D71DA">
      <w:pPr>
        <w:pStyle w:val="Heading1"/>
      </w:pPr>
      <w:bookmarkStart w:id="6" w:name="O_1292155"/>
      <w:bookmarkEnd w:id="6"/>
      <w:r w:rsidRPr="003D71DA">
        <w:t>Foundation Skills</w:t>
      </w:r>
    </w:p>
    <w:p w:rsidR="00000000" w:rsidRPr="003D71DA" w:rsidP="00F80080">
      <w:pPr>
        <w:pStyle w:val="BodyText"/>
      </w:pPr>
      <w:r w:rsidRPr="003D71DA">
        <w:t xml:space="preserve">As well as the foundation skills explicit in the performance criteria of this unit, candidates require: </w:t>
      </w:r>
    </w:p>
    <w:p w:rsidR="00000000" w:rsidRPr="003D71DA" w:rsidP="003D71DA">
      <w:pPr>
        <w:pStyle w:val="ListBullet"/>
      </w:pPr>
      <w:r w:rsidRPr="003D71DA">
        <w:t>technology skills to:</w:t>
      </w:r>
    </w:p>
    <w:p w:rsidR="00000000" w:rsidRPr="003D71DA" w:rsidP="003D71DA">
      <w:pPr>
        <w:pStyle w:val="ListBullet2"/>
      </w:pPr>
      <w:r w:rsidRPr="003D71DA">
        <w:t>use digital tools and devices to communicate and collaborate effectively with others</w:t>
      </w:r>
    </w:p>
    <w:p w:rsidR="00000000" w:rsidRPr="003D71DA" w:rsidP="003D71DA">
      <w:pPr>
        <w:pStyle w:val="ListBullet2"/>
      </w:pPr>
      <w:r w:rsidRPr="003D71DA">
        <w:t>use equipment and programs to access and e</w:t>
      </w:r>
      <w:r w:rsidRPr="003D71DA">
        <w:t>xtract information and develop relevant documentation.</w:t>
      </w:r>
    </w:p>
    <w:p w:rsidR="00000000" w:rsidRPr="003D71DA" w:rsidP="003D71DA">
      <w:pPr>
        <w:pStyle w:val="AllowPageBreak"/>
      </w:pPr>
    </w:p>
    <w:p w:rsidR="00000000" w:rsidRPr="003D71DA" w:rsidP="003D71DA">
      <w:pPr>
        <w:pStyle w:val="Heading1"/>
      </w:pPr>
      <w:bookmarkStart w:id="7" w:name="O_1292154"/>
      <w:bookmarkEnd w:id="7"/>
      <w:r w:rsidRPr="003D71DA">
        <w:t>Unit Mapping Information</w:t>
      </w:r>
    </w:p>
    <w:p w:rsidR="00000000" w:rsidRPr="003D71DA" w:rsidP="00F80080">
      <w:pPr>
        <w:pStyle w:val="BodyText"/>
      </w:pPr>
      <w:r w:rsidRPr="003D71DA">
        <w:t xml:space="preserve">Supersedes and is equivalent to CPCCBC4022A Supervise tilt-up work.  Prior to final endorsement of this unit of competency, the Construction IRC changed the </w:t>
      </w:r>
      <w:r w:rsidRPr="003D71DA">
        <w:t>weight in the Performance Evidence of the in-situ tilt slab from at least 10 tonnes to at least 6 tonnes. This change occurred to provide more flexible assessment conditions to suit industry.</w:t>
      </w:r>
    </w:p>
    <w:p w:rsidR="00000000" w:rsidRPr="003D71DA" w:rsidP="003D71DA">
      <w:pPr>
        <w:pStyle w:val="Heading1"/>
      </w:pPr>
      <w:bookmarkStart w:id="8" w:name="O_1292161"/>
      <w:bookmarkEnd w:id="8"/>
      <w:r w:rsidRPr="003D71DA">
        <w:t>Links</w:t>
      </w:r>
    </w:p>
    <w:p w:rsidR="00000000" w:rsidRPr="003D71DA" w:rsidP="00F80080">
      <w:pPr>
        <w:pStyle w:val="BodyText"/>
      </w:pPr>
      <w:r w:rsidRPr="003D71DA">
        <w:t>Companion volumes to this training pack</w:t>
      </w:r>
      <w:r w:rsidRPr="003D71DA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B2A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D71DA" w:rsidP="00F80080">
      <w:pPr>
        <w:pStyle w:val="BodyText"/>
        <w:sectPr w:rsidSect="003D71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71DA" w:rsidP="003D71DA">
      <w:pPr>
        <w:pStyle w:val="SuperHeading"/>
      </w:pPr>
      <w:r w:rsidRPr="003D71DA">
        <w:t>Assessment Requirements for CPCCBC4022 Supervise tilt-up work</w:t>
      </w:r>
    </w:p>
    <w:p w:rsidR="00000000" w:rsidRPr="003D71DA" w:rsidP="003D71DA">
      <w:pPr>
        <w:pStyle w:val="Heading1"/>
      </w:pPr>
      <w:bookmarkStart w:id="9" w:name="O_1292152"/>
      <w:bookmarkEnd w:id="9"/>
      <w:r w:rsidRPr="003D7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Updated reference to general construction induction training program.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DA" w:rsidP="003D71DA">
            <w:pPr>
              <w:pStyle w:val="BodyText"/>
            </w:pPr>
            <w:r w:rsidRPr="003D71DA">
              <w:t>This version first released with CPC Construction, Plumbing and Services Training Package Release 5.1.</w:t>
            </w:r>
          </w:p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Weight corrected in Performance Evidence.</w:t>
            </w:r>
            <w:r w:rsidRPr="003D71DA">
              <w:t xml:space="preserve"> Formatting corrected in the Knowledge Evidence.</w:t>
            </w:r>
          </w:p>
        </w:tc>
      </w:tr>
      <w:tr w:rsidTr="003D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DA">
            <w:pPr>
              <w:pStyle w:val="BodyText"/>
              <w:rPr>
                <w:lang w:val="en-NZ"/>
              </w:rPr>
            </w:pPr>
            <w:r w:rsidRPr="003D71D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DA" w:rsidP="003D71DA">
            <w:pPr>
              <w:pStyle w:val="BodyText"/>
            </w:pPr>
            <w:r w:rsidRPr="003D71DA">
              <w:t>This version first released with CPC Construction, Plumbing and Services Training Package Release 5.0.</w:t>
            </w:r>
          </w:p>
          <w:p w:rsidR="00000000" w:rsidRPr="003D71DA" w:rsidP="003D71DA">
            <w:pPr>
              <w:pStyle w:val="BodyText"/>
            </w:pPr>
            <w:r w:rsidRPr="003D71DA">
              <w:t xml:space="preserve">Supersedes and is equivalent to CPCCBC4022A Supervise tilt-up work.  </w:t>
            </w:r>
            <w:r w:rsidRPr="003D71DA">
              <w:rPr>
                <w:rStyle w:val="Emphasis"/>
              </w:rPr>
              <w:t>Prior to final endorseme</w:t>
            </w:r>
            <w:r w:rsidRPr="003D71DA">
              <w:rPr>
                <w:rStyle w:val="Emphasis"/>
              </w:rPr>
              <w:t>nt of this unit of competency, the Construction IRC changed the weight in the Performance Evidence of the in-situ tilt slab from at least 10 tonnes to at least 6 tonnes. This change occurred to provide more flexible assessment conditions to suit industry.</w:t>
            </w:r>
          </w:p>
        </w:tc>
      </w:tr>
    </w:tbl>
    <w:p w:rsidR="00000000" w:rsidRPr="003D71DA" w:rsidP="003D71DA">
      <w:pPr>
        <w:pStyle w:val="BodyText"/>
      </w:pPr>
    </w:p>
    <w:p w:rsidR="00000000" w:rsidRPr="003D71DA" w:rsidP="003D71DA">
      <w:pPr>
        <w:pStyle w:val="AllowPageBreak"/>
      </w:pPr>
    </w:p>
    <w:p w:rsidR="00000000" w:rsidRPr="003D71DA" w:rsidP="003D71DA">
      <w:pPr>
        <w:pStyle w:val="Heading1"/>
      </w:pPr>
      <w:bookmarkStart w:id="10" w:name="O_1292151"/>
      <w:bookmarkEnd w:id="10"/>
      <w:r w:rsidRPr="003D71DA">
        <w:t>Performance Evidence</w:t>
      </w:r>
    </w:p>
    <w:p w:rsidR="00000000" w:rsidRPr="003D71DA" w:rsidP="00F80080">
      <w:pPr>
        <w:pStyle w:val="BodyText"/>
      </w:pPr>
      <w:r w:rsidRPr="003D71DA">
        <w:t>To demonstrate competency, a candidate must meet the performance criteria of this unit by demonstrating the supervision on at least one occasion of the erection of:</w:t>
      </w:r>
    </w:p>
    <w:p w:rsidR="00000000" w:rsidRPr="003D71DA" w:rsidP="003D71DA">
      <w:pPr>
        <w:pStyle w:val="ListBullet"/>
      </w:pPr>
      <w:r w:rsidRPr="003D71DA">
        <w:t xml:space="preserve">one multi-point pre-cast tilt slab or one cast in-situ tilt slab each of at least 6 tonnes. </w:t>
      </w:r>
    </w:p>
    <w:p w:rsidR="00000000" w:rsidRPr="003D71DA" w:rsidP="003D71DA">
      <w:pPr>
        <w:pStyle w:val="AllowPageBreak"/>
      </w:pPr>
    </w:p>
    <w:p w:rsidR="00000000" w:rsidRPr="003D71DA" w:rsidP="003D71DA">
      <w:pPr>
        <w:pStyle w:val="Heading1"/>
      </w:pPr>
      <w:bookmarkStart w:id="11" w:name="O_1292150"/>
      <w:bookmarkEnd w:id="11"/>
      <w:r w:rsidRPr="003D71DA">
        <w:t>Knowledge Evidence</w:t>
      </w:r>
    </w:p>
    <w:p w:rsidR="00000000" w:rsidRPr="003D71DA" w:rsidP="00F80080">
      <w:pPr>
        <w:pStyle w:val="BodyText"/>
      </w:pPr>
      <w:r w:rsidRPr="003D71DA">
        <w:t>To be competent in this unit, a candidate must demonstrate knowledge of:</w:t>
      </w:r>
    </w:p>
    <w:p w:rsidR="00000000" w:rsidRPr="003D71DA" w:rsidP="003D71DA">
      <w:pPr>
        <w:pStyle w:val="ListBullet"/>
      </w:pPr>
      <w:r w:rsidRPr="003D71DA">
        <w:t>government building and construction legislation, s</w:t>
      </w:r>
      <w:r w:rsidRPr="003D71DA">
        <w:t>tandards and codes</w:t>
      </w:r>
    </w:p>
    <w:p w:rsidR="00000000" w:rsidRPr="003D71DA" w:rsidP="003D71DA">
      <w:pPr>
        <w:pStyle w:val="ListBullet"/>
      </w:pPr>
      <w:r w:rsidRPr="003D71DA">
        <w:t>National Standard for Construction Work and the Code of Practice for Construction Work</w:t>
      </w:r>
    </w:p>
    <w:p w:rsidR="00000000" w:rsidRPr="003D71DA" w:rsidP="003D71DA">
      <w:pPr>
        <w:pStyle w:val="ListBullet"/>
      </w:pPr>
      <w:r w:rsidRPr="003D71DA">
        <w:t>relevant tilt-up construction codes and standards including current versions of AS3850.1:2015 Prefabricated concrete elements Part 1: General requirem</w:t>
      </w:r>
      <w:r w:rsidRPr="003D71DA">
        <w:t xml:space="preserve">ents and National Code of Practice for Precast Tilt-Up and Concrete Elements in Building Construction </w:t>
      </w:r>
    </w:p>
    <w:p w:rsidR="00000000" w:rsidRPr="003D71DA" w:rsidP="003D71DA">
      <w:pPr>
        <w:pStyle w:val="ListBullet"/>
      </w:pPr>
      <w:r w:rsidRPr="003D71DA">
        <w:t xml:space="preserve">project plans, drawings and specifications for tilt-up work </w:t>
      </w:r>
    </w:p>
    <w:p w:rsidR="00000000" w:rsidRPr="003D71DA" w:rsidP="003D71DA">
      <w:pPr>
        <w:pStyle w:val="ListBullet"/>
      </w:pPr>
      <w:r w:rsidRPr="003D71DA">
        <w:t>processes, procedures and techniques for:</w:t>
      </w:r>
    </w:p>
    <w:p w:rsidR="00000000" w:rsidRPr="003D71DA" w:rsidP="003D71DA">
      <w:pPr>
        <w:pStyle w:val="ListBullet2"/>
      </w:pPr>
      <w:r w:rsidRPr="003D71DA">
        <w:t>lifting and placing tilt-up panels</w:t>
      </w:r>
    </w:p>
    <w:p w:rsidR="00000000" w:rsidRPr="003D71DA" w:rsidP="003D71DA">
      <w:pPr>
        <w:pStyle w:val="ListBullet2"/>
      </w:pPr>
      <w:r w:rsidRPr="003D71DA">
        <w:t>securing panel</w:t>
      </w:r>
      <w:r w:rsidRPr="003D71DA">
        <w:t>s to base</w:t>
      </w:r>
    </w:p>
    <w:p w:rsidR="00000000" w:rsidRPr="003D71DA" w:rsidP="003D71DA">
      <w:pPr>
        <w:pStyle w:val="ListBullet2"/>
      </w:pPr>
      <w:r w:rsidRPr="003D71DA">
        <w:t>levelling and plumbing panels</w:t>
      </w:r>
    </w:p>
    <w:p w:rsidR="00000000" w:rsidRPr="003D71DA" w:rsidP="003D71DA">
      <w:pPr>
        <w:pStyle w:val="ListBullet2"/>
      </w:pPr>
      <w:r w:rsidRPr="003D71DA">
        <w:t>temporary bracing panels</w:t>
      </w:r>
    </w:p>
    <w:p w:rsidR="00000000" w:rsidRPr="003D71DA" w:rsidP="003D71DA">
      <w:pPr>
        <w:pStyle w:val="ListBullet2"/>
      </w:pPr>
      <w:r w:rsidRPr="003D71DA">
        <w:t>grouting, bracing, torquing, stabilisation and fixing of panels</w:t>
      </w:r>
    </w:p>
    <w:p w:rsidR="00000000" w:rsidRPr="003D71DA" w:rsidP="003D71DA">
      <w:pPr>
        <w:pStyle w:val="ListBullet"/>
      </w:pPr>
      <w:r w:rsidRPr="003D71DA">
        <w:t>competency and licensing requirements to operate plant and equipment and carry out tilt-up panel work</w:t>
      </w:r>
    </w:p>
    <w:p w:rsidR="00000000" w:rsidRPr="003D71DA" w:rsidP="003D71DA">
      <w:pPr>
        <w:pStyle w:val="ListBullet"/>
      </w:pPr>
      <w:r w:rsidRPr="003D71DA">
        <w:t>capacity and limitations of plant, lifting gear and equipment used in tilt-up work</w:t>
      </w:r>
    </w:p>
    <w:p w:rsidR="00000000" w:rsidRPr="003D71DA" w:rsidP="003D71DA">
      <w:pPr>
        <w:pStyle w:val="ListBullet"/>
      </w:pPr>
      <w:r w:rsidRPr="003D71DA">
        <w:t>capacity and limitations of rigging and equipment</w:t>
      </w:r>
    </w:p>
    <w:p w:rsidR="00000000" w:rsidRPr="003D71DA" w:rsidP="003D71DA">
      <w:pPr>
        <w:pStyle w:val="ListBullet"/>
      </w:pPr>
      <w:r w:rsidRPr="003D71DA">
        <w:t>workplace safety:</w:t>
      </w:r>
    </w:p>
    <w:p w:rsidR="00000000" w:rsidRPr="003D71DA" w:rsidP="003D71DA">
      <w:pPr>
        <w:pStyle w:val="ListBullet2"/>
      </w:pPr>
      <w:r w:rsidRPr="003D71DA">
        <w:t>hierarchy of control</w:t>
      </w:r>
    </w:p>
    <w:p w:rsidR="00000000" w:rsidRPr="003D71DA" w:rsidP="003D71DA">
      <w:pPr>
        <w:pStyle w:val="ListBullet2"/>
      </w:pPr>
      <w:r w:rsidRPr="003D71DA">
        <w:t>hazard identification</w:t>
      </w:r>
    </w:p>
    <w:p w:rsidR="00000000" w:rsidRPr="003D71DA" w:rsidP="003D71DA">
      <w:pPr>
        <w:pStyle w:val="ListBullet2"/>
      </w:pPr>
      <w:r w:rsidRPr="003D71DA">
        <w:t>emergency first aid</w:t>
      </w:r>
    </w:p>
    <w:p w:rsidR="00000000" w:rsidRPr="003D71DA" w:rsidP="003D71DA">
      <w:pPr>
        <w:pStyle w:val="ListBullet2"/>
      </w:pPr>
      <w:r w:rsidRPr="003D71DA">
        <w:t>emergency shutdown and stopping</w:t>
      </w:r>
    </w:p>
    <w:p w:rsidR="00000000" w:rsidRPr="003D71DA" w:rsidP="003D71DA">
      <w:pPr>
        <w:pStyle w:val="ListBullet2"/>
      </w:pPr>
      <w:r w:rsidRPr="003D71DA">
        <w:t>working a</w:t>
      </w:r>
      <w:r w:rsidRPr="003D71DA">
        <w:t>t heights</w:t>
      </w:r>
    </w:p>
    <w:p w:rsidR="00000000" w:rsidRPr="003D71DA" w:rsidP="003D71DA">
      <w:pPr>
        <w:pStyle w:val="ListBullet2"/>
      </w:pPr>
      <w:r w:rsidRPr="003D71DA">
        <w:t>fall arrest equipment</w:t>
      </w:r>
    </w:p>
    <w:p w:rsidR="00000000" w:rsidRPr="003D71DA" w:rsidP="003D71DA">
      <w:pPr>
        <w:pStyle w:val="ListBullet2"/>
      </w:pPr>
      <w:r w:rsidRPr="003D71DA">
        <w:t>scaffolding</w:t>
      </w:r>
    </w:p>
    <w:p w:rsidR="00000000" w:rsidRPr="003D71DA" w:rsidP="003D71DA">
      <w:pPr>
        <w:pStyle w:val="ListBullet2"/>
      </w:pPr>
      <w:r w:rsidRPr="003D71DA">
        <w:t>access equipment</w:t>
      </w:r>
    </w:p>
    <w:p w:rsidR="00000000" w:rsidRPr="003D71DA" w:rsidP="003D71DA">
      <w:pPr>
        <w:pStyle w:val="ListBullet2"/>
      </w:pPr>
      <w:r w:rsidRPr="003D71DA">
        <w:t>electrical hazards</w:t>
      </w:r>
    </w:p>
    <w:p w:rsidR="00000000" w:rsidRPr="003D71DA" w:rsidP="003D71DA">
      <w:pPr>
        <w:pStyle w:val="ListBullet2"/>
      </w:pPr>
      <w:r w:rsidRPr="003D71DA">
        <w:t>overhead hazards</w:t>
      </w:r>
    </w:p>
    <w:p w:rsidR="00000000" w:rsidRPr="003D71DA" w:rsidP="003D71DA">
      <w:pPr>
        <w:pStyle w:val="ListBullet2"/>
      </w:pPr>
      <w:r w:rsidRPr="003D71DA">
        <w:t>confined spaces.</w:t>
      </w:r>
    </w:p>
    <w:p w:rsidR="00000000" w:rsidRPr="003D71DA" w:rsidP="003D71DA">
      <w:pPr>
        <w:pStyle w:val="AllowPageBreak"/>
      </w:pPr>
    </w:p>
    <w:p w:rsidR="00000000" w:rsidRPr="003D71DA" w:rsidP="003D71DA">
      <w:pPr>
        <w:pStyle w:val="Heading1"/>
      </w:pPr>
      <w:bookmarkStart w:id="12" w:name="O_1292149"/>
      <w:bookmarkEnd w:id="12"/>
      <w:r w:rsidRPr="003D71DA">
        <w:t>Assessment Conditions</w:t>
      </w:r>
    </w:p>
    <w:p w:rsidR="00000000" w:rsidRPr="003D71DA" w:rsidP="00F80080">
      <w:pPr>
        <w:pStyle w:val="BodyText"/>
      </w:pPr>
      <w:r w:rsidRPr="003D71DA">
        <w:t xml:space="preserve">Assessors must meet the requirements for assessors contained in the Standards for Registered Training Organisations. </w:t>
      </w:r>
    </w:p>
    <w:p w:rsidR="00000000" w:rsidRPr="003D71DA" w:rsidP="00F80080">
      <w:pPr>
        <w:pStyle w:val="BodyText"/>
      </w:pPr>
      <w:r w:rsidRPr="003D71DA">
        <w:t xml:space="preserve">Assessment can be undertaken in the workplace or in a simulated workplace environment. </w:t>
      </w:r>
    </w:p>
    <w:p w:rsidR="00000000" w:rsidRPr="003D71DA" w:rsidP="00F80080">
      <w:pPr>
        <w:pStyle w:val="BodyText"/>
      </w:pPr>
      <w:r w:rsidRPr="003D71DA">
        <w:t xml:space="preserve">A simulated environment is one that realistically </w:t>
      </w:r>
      <w:r w:rsidRPr="003D71DA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3D71DA" w:rsidP="00F80080">
      <w:pPr>
        <w:pStyle w:val="BodyText"/>
      </w:pPr>
      <w:r w:rsidRPr="003D71DA">
        <w:t>Candidates must have access to:</w:t>
      </w:r>
    </w:p>
    <w:p w:rsidR="00000000" w:rsidRPr="003D71DA" w:rsidP="003D71DA">
      <w:pPr>
        <w:pStyle w:val="ListBullet"/>
      </w:pPr>
      <w:r w:rsidRPr="003D71DA">
        <w:t xml:space="preserve">relevant government building and </w:t>
      </w:r>
      <w:r w:rsidRPr="003D71DA">
        <w:t xml:space="preserve">construction legislation </w:t>
      </w:r>
    </w:p>
    <w:p w:rsidR="00000000" w:rsidRPr="003D71DA" w:rsidP="003D71DA">
      <w:pPr>
        <w:pStyle w:val="ListBullet"/>
      </w:pPr>
      <w:r w:rsidRPr="003D71DA">
        <w:t>current relevant building and construction industry codes and standards</w:t>
      </w:r>
    </w:p>
    <w:p w:rsidR="00000000" w:rsidRPr="003D71DA" w:rsidP="003D71DA">
      <w:pPr>
        <w:pStyle w:val="ListBullet"/>
      </w:pPr>
      <w:r w:rsidRPr="003D71DA">
        <w:t>organisational policies, procedures and other quality documentation to undertake the performance criteria and assessment requirements</w:t>
      </w:r>
    </w:p>
    <w:p w:rsidR="00000000" w:rsidRPr="003D71DA" w:rsidP="003D71DA">
      <w:pPr>
        <w:pStyle w:val="ListBullet"/>
      </w:pPr>
      <w:r w:rsidRPr="003D71DA">
        <w:t>project plans and specifications</w:t>
      </w:r>
    </w:p>
    <w:p w:rsidR="00000000" w:rsidRPr="003D71DA" w:rsidP="003D71DA">
      <w:pPr>
        <w:pStyle w:val="ListBullet"/>
      </w:pPr>
      <w:r w:rsidRPr="003D71DA">
        <w:t>plant, equipment and qualified personnel necessary to supervise tilt-up work.</w:t>
      </w:r>
    </w:p>
    <w:p w:rsidR="00000000" w:rsidRPr="003D71DA" w:rsidP="003D71DA">
      <w:pPr>
        <w:pStyle w:val="AllowPageBreak"/>
      </w:pPr>
    </w:p>
    <w:p w:rsidR="00000000" w:rsidRPr="003D71DA" w:rsidP="003D71DA">
      <w:pPr>
        <w:pStyle w:val="Heading1"/>
      </w:pPr>
      <w:bookmarkStart w:id="13" w:name="O_1292162"/>
      <w:bookmarkEnd w:id="13"/>
      <w:r w:rsidRPr="003D71DA">
        <w:t>Links</w:t>
      </w:r>
    </w:p>
    <w:p w:rsidR="00000000" w:rsidRPr="003D71DA" w:rsidP="00F80080">
      <w:pPr>
        <w:pStyle w:val="BodyText"/>
      </w:pPr>
      <w:r w:rsidRPr="003D71D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B2A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D71DA" w:rsidP="003D71DA"/>
    <w:sectPr w:rsidSect="003D71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DA" w:rsidRPr="00F80080" w:rsidP="00F80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80" w:rsidP="003D7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0080" w:rsidP="003D7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80080" w:rsidP="003D71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DA" w:rsidP="003D7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0080">
      <w:t>Approved</w:t>
    </w:r>
    <w:r w:rsidR="00F800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00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0080">
      <w:rPr>
        <w:noProof/>
      </w:rPr>
      <w:t>5</w:t>
    </w:r>
    <w:r>
      <w:rPr>
        <w:noProof/>
      </w:rPr>
      <w:fldChar w:fldCharType="end"/>
    </w:r>
  </w:p>
  <w:p w:rsidR="003D71DA" w:rsidP="003D7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00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0080">
      <w:t>BuildSkills Australia</w:t>
    </w:r>
    <w:r w:rsidR="00F80080">
      <w:fldChar w:fldCharType="end"/>
    </w:r>
  </w:p>
  <w:p w:rsidR="003D71DA" w:rsidP="003D7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1DA" w:rsidRPr="00F80080" w:rsidP="00F80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80" w:rsidRPr="002D2AF8" w:rsidP="003D7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CPCCBC4022 Supervise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0080" w:rsidP="003D71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DA" w:rsidRPr="002D2AF8" w:rsidP="003D7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0080">
      <w:t>CPCCBC4022 Supervise tilt-up work</w:t>
    </w:r>
    <w:r w:rsidR="00F800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0080">
      <w:rPr>
        <w:noProof/>
      </w:rPr>
      <w:t>2 March 2025</w:t>
    </w:r>
    <w:r>
      <w:fldChar w:fldCharType="end"/>
    </w:r>
  </w:p>
  <w:p w:rsidR="003D71DA" w:rsidP="003D7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AC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9A6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107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1DA"/>
  </w:style>
  <w:style w:type="character" w:customStyle="1" w:styleId="Heading1Char">
    <w:name w:val="Heading 1 Char"/>
    <w:basedOn w:val="DefaultParagraphFont"/>
    <w:link w:val="Heading1"/>
    <w:rsid w:val="003D7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1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71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71DA"/>
    <w:rPr>
      <w:i/>
    </w:rPr>
  </w:style>
  <w:style w:type="paragraph" w:customStyle="1" w:styleId="SuperHeading">
    <w:name w:val="SuperHeading"/>
    <w:basedOn w:val="Normal"/>
    <w:rsid w:val="003D7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71DA"/>
    <w:rPr>
      <w:b/>
      <w:spacing w:val="0"/>
    </w:rPr>
  </w:style>
  <w:style w:type="paragraph" w:customStyle="1" w:styleId="SuperTitle">
    <w:name w:val="SuperTitle"/>
    <w:basedOn w:val="Title"/>
    <w:rsid w:val="003D7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1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1DA"/>
  </w:style>
  <w:style w:type="paragraph" w:styleId="TableofFigures">
    <w:name w:val="table of figures"/>
    <w:basedOn w:val="Normal"/>
    <w:next w:val="Normal"/>
    <w:semiHidden/>
    <w:rsid w:val="003D7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1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1DA"/>
    <w:rPr>
      <w:rFonts w:ascii="Wingdings" w:hAnsi="Wingdings"/>
    </w:rPr>
  </w:style>
  <w:style w:type="paragraph" w:customStyle="1" w:styleId="TableHeading">
    <w:name w:val="Table Heading"/>
    <w:basedOn w:val="HeadingBase"/>
    <w:rsid w:val="003D7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1DA"/>
    <w:rPr>
      <w:color w:val="0033CC"/>
      <w:u w:val="none"/>
    </w:rPr>
  </w:style>
  <w:style w:type="paragraph" w:customStyle="1" w:styleId="BodyTextRight">
    <w:name w:val="Body Text Right"/>
    <w:basedOn w:val="BodyText"/>
    <w:rsid w:val="003D7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1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1DA"/>
    <w:rPr>
      <w:sz w:val="32"/>
    </w:rPr>
  </w:style>
  <w:style w:type="paragraph" w:customStyle="1" w:styleId="HeadingProcedure">
    <w:name w:val="Heading Procedure"/>
    <w:basedOn w:val="HeadingBase"/>
    <w:next w:val="Normal"/>
    <w:rsid w:val="003D7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1DA"/>
    <w:pPr>
      <w:spacing w:before="60" w:after="60"/>
    </w:pPr>
  </w:style>
  <w:style w:type="paragraph" w:styleId="ListContinue">
    <w:name w:val="List Continue"/>
    <w:basedOn w:val="List"/>
    <w:rsid w:val="003D71DA"/>
    <w:pPr>
      <w:ind w:firstLine="0"/>
    </w:pPr>
  </w:style>
  <w:style w:type="paragraph" w:customStyle="1" w:styleId="ListNote">
    <w:name w:val="List Note"/>
    <w:basedOn w:val="List"/>
    <w:rsid w:val="003D7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1DA"/>
    <w:rPr>
      <w:rFonts w:ascii="Courier New" w:hAnsi="Courier New"/>
    </w:rPr>
  </w:style>
  <w:style w:type="paragraph" w:customStyle="1" w:styleId="NoteBullet">
    <w:name w:val="Note Bullet"/>
    <w:basedOn w:val="Note"/>
    <w:rsid w:val="003D7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1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1DA"/>
    <w:rPr>
      <w:b/>
      <w:smallCaps/>
    </w:rPr>
  </w:style>
  <w:style w:type="paragraph" w:customStyle="1" w:styleId="TableListNumber">
    <w:name w:val="Table List Number"/>
    <w:basedOn w:val="ListNumber"/>
    <w:rsid w:val="003D7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1DA"/>
    <w:pPr>
      <w:numPr>
        <w:numId w:val="9"/>
      </w:numPr>
    </w:pPr>
  </w:style>
  <w:style w:type="paragraph" w:customStyle="1" w:styleId="ListAlpha2">
    <w:name w:val="List Alpha 2"/>
    <w:basedOn w:val="List2"/>
    <w:rsid w:val="003D71DA"/>
    <w:pPr>
      <w:numPr>
        <w:numId w:val="8"/>
      </w:numPr>
    </w:pPr>
  </w:style>
  <w:style w:type="paragraph" w:styleId="List2">
    <w:name w:val="List 2"/>
    <w:basedOn w:val="BodyText"/>
    <w:rsid w:val="003D7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1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1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1DA"/>
    <w:pPr>
      <w:numPr>
        <w:numId w:val="4"/>
      </w:numPr>
    </w:pPr>
  </w:style>
  <w:style w:type="paragraph" w:styleId="ListContinue2">
    <w:name w:val="List Continue 2"/>
    <w:basedOn w:val="List2"/>
    <w:rsid w:val="003D71DA"/>
    <w:pPr>
      <w:ind w:firstLine="0"/>
    </w:pPr>
  </w:style>
  <w:style w:type="paragraph" w:styleId="ListContinue3">
    <w:name w:val="List Continue 3"/>
    <w:basedOn w:val="List3"/>
    <w:rsid w:val="003D71DA"/>
    <w:pPr>
      <w:ind w:left="1021" w:firstLine="0"/>
    </w:pPr>
  </w:style>
  <w:style w:type="paragraph" w:styleId="ListContinue4">
    <w:name w:val="List Continue 4"/>
    <w:basedOn w:val="List4"/>
    <w:rsid w:val="003D71DA"/>
    <w:pPr>
      <w:ind w:firstLine="0"/>
    </w:pPr>
  </w:style>
  <w:style w:type="paragraph" w:styleId="ListContinue5">
    <w:name w:val="List Continue 5"/>
    <w:basedOn w:val="List5"/>
    <w:rsid w:val="003D71DA"/>
    <w:pPr>
      <w:ind w:firstLine="0"/>
    </w:pPr>
  </w:style>
  <w:style w:type="paragraph" w:styleId="ListNumber3">
    <w:name w:val="List Number 3"/>
    <w:basedOn w:val="List3"/>
    <w:rsid w:val="003D71DA"/>
    <w:pPr>
      <w:numPr>
        <w:numId w:val="5"/>
      </w:numPr>
    </w:pPr>
  </w:style>
  <w:style w:type="paragraph" w:styleId="ListNumber4">
    <w:name w:val="List Number 4"/>
    <w:basedOn w:val="List4"/>
    <w:rsid w:val="003D71DA"/>
    <w:pPr>
      <w:numPr>
        <w:numId w:val="6"/>
      </w:numPr>
    </w:pPr>
  </w:style>
  <w:style w:type="paragraph" w:styleId="ListNumber5">
    <w:name w:val="List Number 5"/>
    <w:basedOn w:val="List5"/>
    <w:rsid w:val="003D71DA"/>
    <w:pPr>
      <w:numPr>
        <w:numId w:val="7"/>
      </w:numPr>
    </w:pPr>
  </w:style>
  <w:style w:type="paragraph" w:styleId="BlockText">
    <w:name w:val="Block Text"/>
    <w:basedOn w:val="Normal"/>
    <w:rsid w:val="003D7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1DA"/>
    <w:rPr>
      <w:sz w:val="16"/>
      <w:vertAlign w:val="superscript"/>
    </w:rPr>
  </w:style>
  <w:style w:type="character" w:customStyle="1" w:styleId="Symbols">
    <w:name w:val="Symbols"/>
    <w:basedOn w:val="DefaultParagraphFont"/>
    <w:rsid w:val="003D71DA"/>
    <w:rPr>
      <w:rFonts w:ascii="Symbol" w:hAnsi="Symbol"/>
    </w:rPr>
  </w:style>
  <w:style w:type="character" w:customStyle="1" w:styleId="MenuOptions">
    <w:name w:val="Menu Options"/>
    <w:basedOn w:val="DefaultParagraphFont"/>
    <w:rsid w:val="003D7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1DA"/>
    <w:rPr>
      <w:b/>
    </w:rPr>
  </w:style>
  <w:style w:type="character" w:customStyle="1" w:styleId="Underlined">
    <w:name w:val="Underlined"/>
    <w:basedOn w:val="DefaultParagraphFont"/>
    <w:rsid w:val="003D71DA"/>
    <w:rPr>
      <w:u w:val="single"/>
    </w:rPr>
  </w:style>
  <w:style w:type="paragraph" w:customStyle="1" w:styleId="TableBodyTextRight">
    <w:name w:val="Table Body Text Right"/>
    <w:basedOn w:val="TableBodyText"/>
    <w:rsid w:val="003D7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1DA"/>
    <w:rPr>
      <w:sz w:val="18"/>
    </w:rPr>
  </w:style>
  <w:style w:type="paragraph" w:customStyle="1" w:styleId="BodySmallRight">
    <w:name w:val="Body Small Right"/>
    <w:basedOn w:val="BodyTextRight"/>
    <w:rsid w:val="003D71DA"/>
    <w:rPr>
      <w:sz w:val="18"/>
      <w:szCs w:val="18"/>
    </w:rPr>
  </w:style>
  <w:style w:type="paragraph" w:customStyle="1" w:styleId="MarginEdition">
    <w:name w:val="Margin Edition"/>
    <w:basedOn w:val="MarginNote"/>
    <w:rsid w:val="003D7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1DA"/>
    <w:rPr>
      <w:sz w:val="2"/>
      <w:szCs w:val="2"/>
    </w:rPr>
  </w:style>
  <w:style w:type="character" w:customStyle="1" w:styleId="Small">
    <w:name w:val="Small"/>
    <w:basedOn w:val="DefaultParagraphFont"/>
    <w:rsid w:val="003D71DA"/>
    <w:rPr>
      <w:sz w:val="16"/>
    </w:rPr>
  </w:style>
  <w:style w:type="paragraph" w:customStyle="1" w:styleId="WideTable">
    <w:name w:val="Wide Table"/>
    <w:basedOn w:val="Normal"/>
    <w:rsid w:val="003D7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1DA"/>
  </w:style>
  <w:style w:type="paragraph" w:styleId="Quote">
    <w:name w:val="Quote"/>
    <w:basedOn w:val="Heading1"/>
    <w:link w:val="QuoteChar"/>
    <w:qFormat/>
    <w:rsid w:val="003D7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1DA"/>
    <w:pPr>
      <w:pageBreakBefore/>
    </w:pPr>
  </w:style>
  <w:style w:type="paragraph" w:customStyle="1" w:styleId="Border">
    <w:name w:val="Border"/>
    <w:basedOn w:val="Normal"/>
    <w:qFormat/>
    <w:rsid w:val="003D7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1DA"/>
    <w:rPr>
      <w:u w:val="single"/>
    </w:rPr>
  </w:style>
  <w:style w:type="character" w:customStyle="1" w:styleId="BoldandItalics">
    <w:name w:val="Bold and Italics"/>
    <w:qFormat/>
    <w:rsid w:val="003D71DA"/>
    <w:rPr>
      <w:b/>
      <w:i/>
      <w:u w:val="none"/>
    </w:rPr>
  </w:style>
  <w:style w:type="paragraph" w:styleId="BalloonText">
    <w:name w:val="Balloon Text"/>
    <w:basedOn w:val="Normal"/>
    <w:link w:val="BalloonTextChar"/>
    <w:rsid w:val="003D7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1DA"/>
    <w:pPr>
      <w:spacing w:before="0" w:after="0"/>
    </w:pPr>
  </w:style>
  <w:style w:type="paragraph" w:customStyle="1" w:styleId="BodyTextBold">
    <w:name w:val="Body Text Bold"/>
    <w:basedOn w:val="BodyText"/>
    <w:qFormat/>
    <w:rsid w:val="003D71DA"/>
    <w:rPr>
      <w:b/>
    </w:rPr>
  </w:style>
  <w:style w:type="character" w:styleId="Hyperlink">
    <w:name w:val="Hyperlink"/>
    <w:basedOn w:val="DefaultParagraphFont"/>
    <w:uiPriority w:val="99"/>
    <w:unhideWhenUsed/>
    <w:rsid w:val="00F80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1425</Words>
  <Characters>8766</Characters>
  <Application>Microsoft Office Word</Application>
  <DocSecurity>0</DocSecurity>
  <Lines>313</Lines>
  <Paragraphs>172</Paragraphs>
  <ScaleCrop>false</ScaleCrop>
  <Company>Author-it Software Corporation Ltd.</Company>
  <LinksUpToDate>false</LinksUpToDate>
  <CharactersWithSpaces>10019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CPCCBC4022 Supervise tilt-up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