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5A2" w:rsidP="008C7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CPCCBC4022 Supervise tilt-up work</w:t>
      </w:r>
      <w:r>
        <w:fldChar w:fldCharType="end"/>
      </w:r>
    </w:p>
    <w:p w:rsidR="008C75A2" w:rsidP="008C75A2">
      <w:pPr>
        <w:pStyle w:val="Version"/>
        <w:sectPr w:rsidSect="00302E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02E0B" w:rsidP="00302E0B">
      <w:pPr>
        <w:pStyle w:val="SuperHeading"/>
      </w:pPr>
      <w:r w:rsidRPr="00302E0B">
        <w:t>Assessment Requirements for CPCCBC4022 Supervise tilt-up work</w:t>
      </w:r>
    </w:p>
    <w:p w:rsidR="00000000" w:rsidRPr="00302E0B" w:rsidP="00302E0B">
      <w:pPr>
        <w:pStyle w:val="Heading1"/>
      </w:pPr>
      <w:bookmarkStart w:id="1" w:name="O_1292152"/>
      <w:bookmarkEnd w:id="1"/>
      <w:r w:rsidRPr="00302E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02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0B">
            <w:pPr>
              <w:pStyle w:val="BodyText"/>
              <w:rPr>
                <w:lang w:val="en-NZ"/>
              </w:rPr>
            </w:pPr>
            <w:r w:rsidRPr="00302E0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0B">
            <w:pPr>
              <w:pStyle w:val="BodyText"/>
              <w:rPr>
                <w:lang w:val="en-NZ"/>
              </w:rPr>
            </w:pPr>
            <w:r w:rsidRPr="00302E0B">
              <w:t>Updated reference to general construction induction training program.</w:t>
            </w:r>
          </w:p>
        </w:tc>
      </w:tr>
      <w:tr w:rsidTr="00302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0B">
            <w:pPr>
              <w:pStyle w:val="BodyText"/>
              <w:rPr>
                <w:lang w:val="en-NZ"/>
              </w:rPr>
            </w:pPr>
            <w:r w:rsidRPr="00302E0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E0B" w:rsidP="00302E0B">
            <w:pPr>
              <w:pStyle w:val="BodyText"/>
            </w:pPr>
            <w:r w:rsidRPr="00302E0B">
              <w:t>This version first released with CPC Construction, Plumbing and Services Training Package Release 5.1.</w:t>
            </w:r>
          </w:p>
          <w:p w:rsidR="00000000" w:rsidP="00302E0B">
            <w:pPr>
              <w:pStyle w:val="BodyText"/>
              <w:rPr>
                <w:lang w:val="en-NZ"/>
              </w:rPr>
            </w:pPr>
            <w:r w:rsidRPr="00302E0B">
              <w:t>W</w:t>
            </w:r>
            <w:r w:rsidRPr="00302E0B">
              <w:t>eight corrected in Performance Evidence. Formatting corrected in the Knowledge Evidence.</w:t>
            </w:r>
          </w:p>
        </w:tc>
      </w:tr>
      <w:tr w:rsidTr="00302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E0B">
            <w:pPr>
              <w:pStyle w:val="BodyText"/>
              <w:rPr>
                <w:lang w:val="en-NZ"/>
              </w:rPr>
            </w:pPr>
            <w:r w:rsidRPr="00302E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E0B" w:rsidP="00302E0B">
            <w:pPr>
              <w:pStyle w:val="BodyText"/>
            </w:pPr>
            <w:r w:rsidRPr="00302E0B">
              <w:t>This version first released with CPC Construction, Plumbing and Services Training Package Release 5.0.</w:t>
            </w:r>
          </w:p>
          <w:p w:rsidR="00000000" w:rsidRPr="00302E0B" w:rsidP="00302E0B">
            <w:pPr>
              <w:pStyle w:val="BodyText"/>
            </w:pPr>
            <w:r w:rsidRPr="00302E0B">
              <w:t>Supersedes and is equivalent to CPCCBC4022A Supervise</w:t>
            </w:r>
            <w:r w:rsidRPr="00302E0B">
              <w:t xml:space="preserve"> tilt-up work.  </w:t>
            </w:r>
            <w:r w:rsidRPr="00302E0B">
              <w:rPr>
                <w:rStyle w:val="Emphasis"/>
              </w:rPr>
              <w:t xml:space="preserve">Prior to final endorsement of this unit of competency, the Construction IRC changed the weight in the Performance Evidence of the in-situ tilt slab from at least 10 tonnes to at least 6 tonnes. This change occurred to provide more flexible </w:t>
            </w:r>
            <w:r w:rsidRPr="00302E0B">
              <w:rPr>
                <w:rStyle w:val="Emphasis"/>
              </w:rPr>
              <w:t>assessment conditions to suit industry.</w:t>
            </w:r>
          </w:p>
        </w:tc>
      </w:tr>
    </w:tbl>
    <w:p w:rsidR="00000000" w:rsidRPr="00302E0B" w:rsidP="00302E0B">
      <w:pPr>
        <w:pStyle w:val="BodyText"/>
      </w:pPr>
    </w:p>
    <w:p w:rsidR="00000000" w:rsidRPr="00302E0B" w:rsidP="00302E0B">
      <w:pPr>
        <w:pStyle w:val="AllowPageBreak"/>
      </w:pPr>
    </w:p>
    <w:p w:rsidR="00000000" w:rsidRPr="00302E0B" w:rsidP="00302E0B">
      <w:pPr>
        <w:pStyle w:val="Heading1"/>
      </w:pPr>
      <w:bookmarkStart w:id="2" w:name="O_1292151"/>
      <w:bookmarkEnd w:id="2"/>
      <w:r w:rsidRPr="00302E0B">
        <w:t>Performance Evidence</w:t>
      </w:r>
    </w:p>
    <w:p w:rsidR="00000000" w:rsidRPr="00302E0B" w:rsidP="008C75A2">
      <w:pPr>
        <w:pStyle w:val="BodyText"/>
      </w:pPr>
      <w:r w:rsidRPr="00302E0B">
        <w:t>To demonstrate competency, a candidate must meet the performance criteria of this unit by demonstrating the supervision on at least one occasion of the erection of:</w:t>
      </w:r>
    </w:p>
    <w:p w:rsidR="00000000" w:rsidRPr="00302E0B" w:rsidP="00302E0B">
      <w:pPr>
        <w:pStyle w:val="ListBullet"/>
      </w:pPr>
      <w:r w:rsidRPr="00302E0B">
        <w:t>one mult</w:t>
      </w:r>
      <w:r w:rsidRPr="00302E0B">
        <w:t xml:space="preserve">i-point pre-cast tilt slab or one cast in-situ tilt slab each of at least 6 tonnes. </w:t>
      </w:r>
    </w:p>
    <w:p w:rsidR="00000000" w:rsidRPr="00302E0B" w:rsidP="00302E0B">
      <w:pPr>
        <w:pStyle w:val="AllowPageBreak"/>
      </w:pPr>
    </w:p>
    <w:p w:rsidR="00000000" w:rsidRPr="00302E0B" w:rsidP="00302E0B">
      <w:pPr>
        <w:pStyle w:val="Heading1"/>
      </w:pPr>
      <w:bookmarkStart w:id="3" w:name="O_1292150"/>
      <w:bookmarkEnd w:id="3"/>
      <w:r w:rsidRPr="00302E0B">
        <w:t>Knowledge Evidence</w:t>
      </w:r>
    </w:p>
    <w:p w:rsidR="00000000" w:rsidRPr="00302E0B" w:rsidP="008C75A2">
      <w:pPr>
        <w:pStyle w:val="BodyText"/>
      </w:pPr>
      <w:r w:rsidRPr="00302E0B">
        <w:t>To be competent in this unit, a candidate must demonstrate knowledge of:</w:t>
      </w:r>
    </w:p>
    <w:p w:rsidR="00000000" w:rsidRPr="00302E0B" w:rsidP="00302E0B">
      <w:pPr>
        <w:pStyle w:val="ListBullet"/>
      </w:pPr>
      <w:r w:rsidRPr="00302E0B">
        <w:t>government building and construction legislation, standards and codes</w:t>
      </w:r>
    </w:p>
    <w:p w:rsidR="00000000" w:rsidRPr="00302E0B" w:rsidP="00302E0B">
      <w:pPr>
        <w:pStyle w:val="ListBullet"/>
      </w:pPr>
      <w:r w:rsidRPr="00302E0B">
        <w:t>National Standard for Construction Work and the Code of Practice for Construction Work</w:t>
      </w:r>
    </w:p>
    <w:p w:rsidR="00000000" w:rsidRPr="00302E0B" w:rsidP="00302E0B">
      <w:pPr>
        <w:pStyle w:val="ListBullet"/>
      </w:pPr>
      <w:r w:rsidRPr="00302E0B">
        <w:t>relevant tilt-up construction codes and standards including current versions of AS3850.1:2015 Prefa</w:t>
      </w:r>
      <w:r w:rsidRPr="00302E0B">
        <w:t xml:space="preserve">bricated concrete elements Part 1: General requirements and National Code of Practice for Precast Tilt-Up and Concrete Elements in Building Construction </w:t>
      </w:r>
    </w:p>
    <w:p w:rsidR="00000000" w:rsidRPr="00302E0B" w:rsidP="00302E0B">
      <w:pPr>
        <w:pStyle w:val="ListBullet"/>
      </w:pPr>
      <w:r w:rsidRPr="00302E0B">
        <w:t xml:space="preserve">project plans, drawings and specifications for tilt-up work </w:t>
      </w:r>
    </w:p>
    <w:p w:rsidR="00000000" w:rsidRPr="00302E0B" w:rsidP="00302E0B">
      <w:pPr>
        <w:pStyle w:val="ListBullet"/>
      </w:pPr>
      <w:r w:rsidRPr="00302E0B">
        <w:t>processes, procedures and techniques for:</w:t>
      </w:r>
    </w:p>
    <w:p w:rsidR="00000000" w:rsidRPr="00302E0B" w:rsidP="00302E0B">
      <w:pPr>
        <w:pStyle w:val="ListBullet2"/>
      </w:pPr>
      <w:r w:rsidRPr="00302E0B">
        <w:t>lifting and placing tilt-up panels</w:t>
      </w:r>
    </w:p>
    <w:p w:rsidR="00000000" w:rsidRPr="00302E0B" w:rsidP="00302E0B">
      <w:pPr>
        <w:pStyle w:val="ListBullet2"/>
      </w:pPr>
      <w:r w:rsidRPr="00302E0B">
        <w:t>securing panels to base</w:t>
      </w:r>
    </w:p>
    <w:p w:rsidR="00000000" w:rsidRPr="00302E0B" w:rsidP="00302E0B">
      <w:pPr>
        <w:pStyle w:val="ListBullet2"/>
      </w:pPr>
      <w:r w:rsidRPr="00302E0B">
        <w:t>levelling and plumbing panels</w:t>
      </w:r>
    </w:p>
    <w:p w:rsidR="00000000" w:rsidRPr="00302E0B" w:rsidP="00302E0B">
      <w:pPr>
        <w:pStyle w:val="ListBullet2"/>
      </w:pPr>
      <w:r w:rsidRPr="00302E0B">
        <w:t>temporary bracing panels</w:t>
      </w:r>
    </w:p>
    <w:p w:rsidR="00000000" w:rsidRPr="00302E0B" w:rsidP="00302E0B">
      <w:pPr>
        <w:pStyle w:val="ListBullet2"/>
      </w:pPr>
      <w:r w:rsidRPr="00302E0B">
        <w:t>grouting, bracing, torquing, stabilisation and fixing of panels</w:t>
      </w:r>
    </w:p>
    <w:p w:rsidR="00000000" w:rsidRPr="00302E0B" w:rsidP="00302E0B">
      <w:pPr>
        <w:pStyle w:val="ListBullet"/>
      </w:pPr>
      <w:r w:rsidRPr="00302E0B">
        <w:t>competency and licensing requirements to operate plant and equipment and carry out tilt-up panel work</w:t>
      </w:r>
    </w:p>
    <w:p w:rsidR="00000000" w:rsidRPr="00302E0B" w:rsidP="00302E0B">
      <w:pPr>
        <w:pStyle w:val="ListBullet"/>
      </w:pPr>
      <w:r w:rsidRPr="00302E0B">
        <w:t>capacity and limitations of plant, lifting gear and equipment used in tilt-up work</w:t>
      </w:r>
    </w:p>
    <w:p w:rsidR="00000000" w:rsidRPr="00302E0B" w:rsidP="00302E0B">
      <w:pPr>
        <w:pStyle w:val="ListBullet"/>
      </w:pPr>
      <w:r w:rsidRPr="00302E0B">
        <w:t>capacity and limitations of rigging and equipment</w:t>
      </w:r>
    </w:p>
    <w:p w:rsidR="00000000" w:rsidRPr="00302E0B" w:rsidP="00302E0B">
      <w:pPr>
        <w:pStyle w:val="ListBullet"/>
      </w:pPr>
      <w:r w:rsidRPr="00302E0B">
        <w:t>workplace safety:</w:t>
      </w:r>
    </w:p>
    <w:p w:rsidR="00000000" w:rsidRPr="00302E0B" w:rsidP="00302E0B">
      <w:pPr>
        <w:pStyle w:val="ListBullet2"/>
      </w:pPr>
      <w:r w:rsidRPr="00302E0B">
        <w:t>hi</w:t>
      </w:r>
      <w:r w:rsidRPr="00302E0B">
        <w:t>erarchy of control</w:t>
      </w:r>
    </w:p>
    <w:p w:rsidR="00000000" w:rsidRPr="00302E0B" w:rsidP="00302E0B">
      <w:pPr>
        <w:pStyle w:val="ListBullet2"/>
      </w:pPr>
      <w:r w:rsidRPr="00302E0B">
        <w:t>hazard identification</w:t>
      </w:r>
    </w:p>
    <w:p w:rsidR="00000000" w:rsidRPr="00302E0B" w:rsidP="00302E0B">
      <w:pPr>
        <w:pStyle w:val="ListBullet2"/>
      </w:pPr>
      <w:r w:rsidRPr="00302E0B">
        <w:t>emergency first aid</w:t>
      </w:r>
    </w:p>
    <w:p w:rsidR="00000000" w:rsidRPr="00302E0B" w:rsidP="00302E0B">
      <w:pPr>
        <w:pStyle w:val="ListBullet2"/>
      </w:pPr>
      <w:r w:rsidRPr="00302E0B">
        <w:t>emergency shutdown and stopping</w:t>
      </w:r>
    </w:p>
    <w:p w:rsidR="00000000" w:rsidRPr="00302E0B" w:rsidP="00302E0B">
      <w:pPr>
        <w:pStyle w:val="ListBullet2"/>
      </w:pPr>
      <w:r w:rsidRPr="00302E0B">
        <w:t>working at heights</w:t>
      </w:r>
    </w:p>
    <w:p w:rsidR="00000000" w:rsidRPr="00302E0B" w:rsidP="00302E0B">
      <w:pPr>
        <w:pStyle w:val="ListBullet2"/>
      </w:pPr>
      <w:r w:rsidRPr="00302E0B">
        <w:t>fall arrest equipment</w:t>
      </w:r>
    </w:p>
    <w:p w:rsidR="00000000" w:rsidRPr="00302E0B" w:rsidP="00302E0B">
      <w:pPr>
        <w:pStyle w:val="ListBullet2"/>
      </w:pPr>
      <w:r w:rsidRPr="00302E0B">
        <w:t>scaffolding</w:t>
      </w:r>
    </w:p>
    <w:p w:rsidR="00000000" w:rsidRPr="00302E0B" w:rsidP="00302E0B">
      <w:pPr>
        <w:pStyle w:val="ListBullet2"/>
      </w:pPr>
      <w:r w:rsidRPr="00302E0B">
        <w:t>access equipment</w:t>
      </w:r>
    </w:p>
    <w:p w:rsidR="00000000" w:rsidRPr="00302E0B" w:rsidP="00302E0B">
      <w:pPr>
        <w:pStyle w:val="ListBullet2"/>
      </w:pPr>
      <w:r w:rsidRPr="00302E0B">
        <w:t>electrical hazards</w:t>
      </w:r>
    </w:p>
    <w:p w:rsidR="00000000" w:rsidRPr="00302E0B" w:rsidP="00302E0B">
      <w:pPr>
        <w:pStyle w:val="ListBullet2"/>
      </w:pPr>
      <w:r w:rsidRPr="00302E0B">
        <w:t>overhead hazards</w:t>
      </w:r>
    </w:p>
    <w:p w:rsidR="00000000" w:rsidRPr="00302E0B" w:rsidP="00302E0B">
      <w:pPr>
        <w:pStyle w:val="ListBullet2"/>
      </w:pPr>
      <w:r w:rsidRPr="00302E0B">
        <w:t>confined spaces.</w:t>
      </w:r>
    </w:p>
    <w:p w:rsidR="00000000" w:rsidRPr="00302E0B" w:rsidP="00302E0B">
      <w:pPr>
        <w:pStyle w:val="AllowPageBreak"/>
      </w:pPr>
    </w:p>
    <w:p w:rsidR="00000000" w:rsidRPr="00302E0B" w:rsidP="00302E0B">
      <w:pPr>
        <w:pStyle w:val="Heading1"/>
      </w:pPr>
      <w:bookmarkStart w:id="4" w:name="O_1292149"/>
      <w:bookmarkEnd w:id="4"/>
      <w:r w:rsidRPr="00302E0B">
        <w:t>Assessment Conditions</w:t>
      </w:r>
    </w:p>
    <w:p w:rsidR="00000000" w:rsidRPr="00302E0B" w:rsidP="008C75A2">
      <w:pPr>
        <w:pStyle w:val="BodyText"/>
      </w:pPr>
      <w:r w:rsidRPr="00302E0B">
        <w:t xml:space="preserve">Assessors must meet the requirements for assessors contained in the Standards for Registered Training Organisations. </w:t>
      </w:r>
    </w:p>
    <w:p w:rsidR="00000000" w:rsidRPr="00302E0B" w:rsidP="008C75A2">
      <w:pPr>
        <w:pStyle w:val="BodyText"/>
      </w:pPr>
      <w:r w:rsidRPr="00302E0B">
        <w:t xml:space="preserve">Assessment can be undertaken in the workplace or in a simulated workplace environment. </w:t>
      </w:r>
    </w:p>
    <w:p w:rsidR="00000000" w:rsidRPr="00302E0B" w:rsidP="008C75A2">
      <w:pPr>
        <w:pStyle w:val="BodyText"/>
      </w:pPr>
      <w:r w:rsidRPr="00302E0B">
        <w:t>A simulated environment is one that realistically</w:t>
      </w:r>
      <w:r w:rsidRPr="00302E0B">
        <w:t xml:space="preserve"> replicates workplace conditions, materials and equipment, interactions with others and workplace irregularities, and which meets industry standards for safety and environmental practices.  </w:t>
      </w:r>
    </w:p>
    <w:p w:rsidR="00000000" w:rsidRPr="00302E0B" w:rsidP="008C75A2">
      <w:pPr>
        <w:pStyle w:val="BodyText"/>
      </w:pPr>
      <w:r w:rsidRPr="00302E0B">
        <w:t>Candidates must have access to:</w:t>
      </w:r>
    </w:p>
    <w:p w:rsidR="00000000" w:rsidRPr="00302E0B" w:rsidP="00302E0B">
      <w:pPr>
        <w:pStyle w:val="ListBullet"/>
      </w:pPr>
      <w:r w:rsidRPr="00302E0B">
        <w:t>relevant government building and</w:t>
      </w:r>
      <w:r w:rsidRPr="00302E0B">
        <w:t xml:space="preserve"> construction legislation </w:t>
      </w:r>
    </w:p>
    <w:p w:rsidR="00000000" w:rsidRPr="00302E0B" w:rsidP="00302E0B">
      <w:pPr>
        <w:pStyle w:val="ListBullet"/>
      </w:pPr>
      <w:r w:rsidRPr="00302E0B">
        <w:t>current relevant building and construction industry codes and standards</w:t>
      </w:r>
    </w:p>
    <w:p w:rsidR="00000000" w:rsidRPr="00302E0B" w:rsidP="00302E0B">
      <w:pPr>
        <w:pStyle w:val="ListBullet"/>
      </w:pPr>
      <w:r w:rsidRPr="00302E0B">
        <w:t>organisational policies, procedures and other quality documentation to undertake the performance criteria and assessment requirements</w:t>
      </w:r>
    </w:p>
    <w:p w:rsidR="00000000" w:rsidRPr="00302E0B" w:rsidP="00302E0B">
      <w:pPr>
        <w:pStyle w:val="ListBullet"/>
      </w:pPr>
      <w:r w:rsidRPr="00302E0B">
        <w:t>project plans and specifications</w:t>
      </w:r>
    </w:p>
    <w:p w:rsidR="00000000" w:rsidRPr="00302E0B" w:rsidP="00302E0B">
      <w:pPr>
        <w:pStyle w:val="ListBullet"/>
      </w:pPr>
      <w:r w:rsidRPr="00302E0B">
        <w:t>plant, equipment and qualified personnel necessary to supervise tilt-up work.</w:t>
      </w:r>
    </w:p>
    <w:p w:rsidR="00000000" w:rsidRPr="00302E0B" w:rsidP="00302E0B">
      <w:pPr>
        <w:pStyle w:val="AllowPageBreak"/>
      </w:pPr>
    </w:p>
    <w:p w:rsidR="00000000" w:rsidRPr="00302E0B" w:rsidP="00302E0B">
      <w:pPr>
        <w:pStyle w:val="Heading1"/>
      </w:pPr>
      <w:bookmarkStart w:id="5" w:name="O_1292162"/>
      <w:bookmarkEnd w:id="5"/>
      <w:r w:rsidRPr="00302E0B">
        <w:t>Links</w:t>
      </w:r>
    </w:p>
    <w:p w:rsidR="00000000" w:rsidRPr="00302E0B" w:rsidP="008C75A2">
      <w:pPr>
        <w:pStyle w:val="BodyText"/>
      </w:pPr>
      <w:r w:rsidRPr="00302E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6005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02E0B" w:rsidP="00302E0B"/>
    <w:sectPr w:rsidSect="00302E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E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E0B" w:rsidRPr="008C75A2" w:rsidP="008C7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E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A2" w:rsidP="00302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75A2" w:rsidP="00302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C75A2" w:rsidP="00302E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E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E0B" w:rsidRPr="008C75A2" w:rsidP="008C75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E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A2" w:rsidRPr="002D2AF8" w:rsidP="00302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CPCCBC4022 Supervise tilt-up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C75A2" w:rsidP="00302E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B8E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30C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5C7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E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E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E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E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E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E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E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E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E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E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E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E0B"/>
  </w:style>
  <w:style w:type="character" w:customStyle="1" w:styleId="Heading1Char">
    <w:name w:val="Heading 1 Char"/>
    <w:basedOn w:val="DefaultParagraphFont"/>
    <w:link w:val="Heading1"/>
    <w:rsid w:val="00302E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E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E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E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2E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2E0B"/>
    <w:rPr>
      <w:i/>
    </w:rPr>
  </w:style>
  <w:style w:type="paragraph" w:customStyle="1" w:styleId="SuperHeading">
    <w:name w:val="SuperHeading"/>
    <w:basedOn w:val="Normal"/>
    <w:rsid w:val="00302E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E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E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E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E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E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E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E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E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E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E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E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E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E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E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E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E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E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2E0B"/>
    <w:rPr>
      <w:b/>
      <w:spacing w:val="0"/>
    </w:rPr>
  </w:style>
  <w:style w:type="paragraph" w:customStyle="1" w:styleId="SuperTitle">
    <w:name w:val="SuperTitle"/>
    <w:basedOn w:val="Title"/>
    <w:rsid w:val="00302E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E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E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2E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E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E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E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E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E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E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E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E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2E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E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E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E0B"/>
  </w:style>
  <w:style w:type="paragraph" w:styleId="TableofFigures">
    <w:name w:val="table of figures"/>
    <w:basedOn w:val="Normal"/>
    <w:next w:val="Normal"/>
    <w:semiHidden/>
    <w:rsid w:val="00302E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E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2E0B"/>
    <w:rPr>
      <w:rFonts w:ascii="Wingdings" w:hAnsi="Wingdings"/>
    </w:rPr>
  </w:style>
  <w:style w:type="paragraph" w:customStyle="1" w:styleId="TableHeading">
    <w:name w:val="Table Heading"/>
    <w:basedOn w:val="HeadingBase"/>
    <w:rsid w:val="00302E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E0B"/>
    <w:rPr>
      <w:color w:val="0033CC"/>
      <w:u w:val="none"/>
    </w:rPr>
  </w:style>
  <w:style w:type="paragraph" w:customStyle="1" w:styleId="BodyTextRight">
    <w:name w:val="Body Text Right"/>
    <w:basedOn w:val="BodyText"/>
    <w:rsid w:val="00302E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E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E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E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E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E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E0B"/>
    <w:rPr>
      <w:sz w:val="32"/>
    </w:rPr>
  </w:style>
  <w:style w:type="paragraph" w:customStyle="1" w:styleId="HeadingProcedure">
    <w:name w:val="Heading Procedure"/>
    <w:basedOn w:val="HeadingBase"/>
    <w:next w:val="Normal"/>
    <w:rsid w:val="00302E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E0B"/>
    <w:pPr>
      <w:spacing w:before="60" w:after="60"/>
    </w:pPr>
  </w:style>
  <w:style w:type="paragraph" w:styleId="ListContinue">
    <w:name w:val="List Continue"/>
    <w:basedOn w:val="List"/>
    <w:rsid w:val="00302E0B"/>
    <w:pPr>
      <w:ind w:firstLine="0"/>
    </w:pPr>
  </w:style>
  <w:style w:type="paragraph" w:customStyle="1" w:styleId="ListNote">
    <w:name w:val="List Note"/>
    <w:basedOn w:val="List"/>
    <w:rsid w:val="00302E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E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E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E0B"/>
    <w:rPr>
      <w:rFonts w:ascii="Courier New" w:hAnsi="Courier New"/>
    </w:rPr>
  </w:style>
  <w:style w:type="paragraph" w:customStyle="1" w:styleId="NoteBullet">
    <w:name w:val="Note Bullet"/>
    <w:basedOn w:val="Note"/>
    <w:rsid w:val="00302E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E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E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E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E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2E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E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E0B"/>
    <w:rPr>
      <w:b/>
      <w:smallCaps/>
    </w:rPr>
  </w:style>
  <w:style w:type="paragraph" w:customStyle="1" w:styleId="TableListNumber">
    <w:name w:val="Table List Number"/>
    <w:basedOn w:val="ListNumber"/>
    <w:rsid w:val="00302E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E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E0B"/>
    <w:pPr>
      <w:numPr>
        <w:numId w:val="9"/>
      </w:numPr>
    </w:pPr>
  </w:style>
  <w:style w:type="paragraph" w:customStyle="1" w:styleId="ListAlpha2">
    <w:name w:val="List Alpha 2"/>
    <w:basedOn w:val="List2"/>
    <w:rsid w:val="00302E0B"/>
    <w:pPr>
      <w:numPr>
        <w:numId w:val="8"/>
      </w:numPr>
    </w:pPr>
  </w:style>
  <w:style w:type="paragraph" w:styleId="List2">
    <w:name w:val="List 2"/>
    <w:basedOn w:val="BodyText"/>
    <w:rsid w:val="00302E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E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E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E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E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E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2E0B"/>
    <w:pPr>
      <w:numPr>
        <w:numId w:val="4"/>
      </w:numPr>
    </w:pPr>
  </w:style>
  <w:style w:type="paragraph" w:styleId="ListContinue2">
    <w:name w:val="List Continue 2"/>
    <w:basedOn w:val="List2"/>
    <w:rsid w:val="00302E0B"/>
    <w:pPr>
      <w:ind w:firstLine="0"/>
    </w:pPr>
  </w:style>
  <w:style w:type="paragraph" w:styleId="ListContinue3">
    <w:name w:val="List Continue 3"/>
    <w:basedOn w:val="List3"/>
    <w:rsid w:val="00302E0B"/>
    <w:pPr>
      <w:ind w:left="1021" w:firstLine="0"/>
    </w:pPr>
  </w:style>
  <w:style w:type="paragraph" w:styleId="ListContinue4">
    <w:name w:val="List Continue 4"/>
    <w:basedOn w:val="List4"/>
    <w:rsid w:val="00302E0B"/>
    <w:pPr>
      <w:ind w:firstLine="0"/>
    </w:pPr>
  </w:style>
  <w:style w:type="paragraph" w:styleId="ListContinue5">
    <w:name w:val="List Continue 5"/>
    <w:basedOn w:val="List5"/>
    <w:rsid w:val="00302E0B"/>
    <w:pPr>
      <w:ind w:firstLine="0"/>
    </w:pPr>
  </w:style>
  <w:style w:type="paragraph" w:styleId="ListNumber3">
    <w:name w:val="List Number 3"/>
    <w:basedOn w:val="List3"/>
    <w:rsid w:val="00302E0B"/>
    <w:pPr>
      <w:numPr>
        <w:numId w:val="5"/>
      </w:numPr>
    </w:pPr>
  </w:style>
  <w:style w:type="paragraph" w:styleId="ListNumber4">
    <w:name w:val="List Number 4"/>
    <w:basedOn w:val="List4"/>
    <w:rsid w:val="00302E0B"/>
    <w:pPr>
      <w:numPr>
        <w:numId w:val="6"/>
      </w:numPr>
    </w:pPr>
  </w:style>
  <w:style w:type="paragraph" w:styleId="ListNumber5">
    <w:name w:val="List Number 5"/>
    <w:basedOn w:val="List5"/>
    <w:rsid w:val="00302E0B"/>
    <w:pPr>
      <w:numPr>
        <w:numId w:val="7"/>
      </w:numPr>
    </w:pPr>
  </w:style>
  <w:style w:type="paragraph" w:styleId="BlockText">
    <w:name w:val="Block Text"/>
    <w:basedOn w:val="Normal"/>
    <w:rsid w:val="00302E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E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E0B"/>
    <w:rPr>
      <w:sz w:val="16"/>
      <w:vertAlign w:val="superscript"/>
    </w:rPr>
  </w:style>
  <w:style w:type="character" w:customStyle="1" w:styleId="Symbols">
    <w:name w:val="Symbols"/>
    <w:basedOn w:val="DefaultParagraphFont"/>
    <w:rsid w:val="00302E0B"/>
    <w:rPr>
      <w:rFonts w:ascii="Symbol" w:hAnsi="Symbol"/>
    </w:rPr>
  </w:style>
  <w:style w:type="character" w:customStyle="1" w:styleId="MenuOptions">
    <w:name w:val="Menu Options"/>
    <w:basedOn w:val="DefaultParagraphFont"/>
    <w:rsid w:val="00302E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E0B"/>
    <w:rPr>
      <w:b/>
    </w:rPr>
  </w:style>
  <w:style w:type="character" w:customStyle="1" w:styleId="Underlined">
    <w:name w:val="Underlined"/>
    <w:basedOn w:val="DefaultParagraphFont"/>
    <w:rsid w:val="00302E0B"/>
    <w:rPr>
      <w:u w:val="single"/>
    </w:rPr>
  </w:style>
  <w:style w:type="paragraph" w:customStyle="1" w:styleId="TableBodyTextRight">
    <w:name w:val="Table Body Text Right"/>
    <w:basedOn w:val="TableBodyText"/>
    <w:rsid w:val="00302E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E0B"/>
    <w:rPr>
      <w:sz w:val="18"/>
    </w:rPr>
  </w:style>
  <w:style w:type="paragraph" w:customStyle="1" w:styleId="BodySmallRight">
    <w:name w:val="Body Small Right"/>
    <w:basedOn w:val="BodyTextRight"/>
    <w:rsid w:val="00302E0B"/>
    <w:rPr>
      <w:sz w:val="18"/>
      <w:szCs w:val="18"/>
    </w:rPr>
  </w:style>
  <w:style w:type="paragraph" w:customStyle="1" w:styleId="MarginEdition">
    <w:name w:val="Margin Edition"/>
    <w:basedOn w:val="MarginNote"/>
    <w:rsid w:val="00302E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E0B"/>
    <w:rPr>
      <w:sz w:val="2"/>
      <w:szCs w:val="2"/>
    </w:rPr>
  </w:style>
  <w:style w:type="character" w:customStyle="1" w:styleId="Small">
    <w:name w:val="Small"/>
    <w:basedOn w:val="DefaultParagraphFont"/>
    <w:rsid w:val="00302E0B"/>
    <w:rPr>
      <w:sz w:val="16"/>
    </w:rPr>
  </w:style>
  <w:style w:type="paragraph" w:customStyle="1" w:styleId="WideTable">
    <w:name w:val="Wide Table"/>
    <w:basedOn w:val="Normal"/>
    <w:rsid w:val="00302E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E0B"/>
  </w:style>
  <w:style w:type="paragraph" w:styleId="Quote">
    <w:name w:val="Quote"/>
    <w:basedOn w:val="Heading1"/>
    <w:link w:val="QuoteChar"/>
    <w:qFormat/>
    <w:rsid w:val="00302E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E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E0B"/>
    <w:pPr>
      <w:pageBreakBefore/>
    </w:pPr>
  </w:style>
  <w:style w:type="paragraph" w:customStyle="1" w:styleId="Border">
    <w:name w:val="Border"/>
    <w:basedOn w:val="Normal"/>
    <w:qFormat/>
    <w:rsid w:val="00302E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E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E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E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E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E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E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E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E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E0B"/>
    <w:rPr>
      <w:u w:val="single"/>
    </w:rPr>
  </w:style>
  <w:style w:type="character" w:customStyle="1" w:styleId="BoldandItalics">
    <w:name w:val="Bold and Italics"/>
    <w:qFormat/>
    <w:rsid w:val="00302E0B"/>
    <w:rPr>
      <w:b/>
      <w:i/>
      <w:u w:val="none"/>
    </w:rPr>
  </w:style>
  <w:style w:type="paragraph" w:styleId="BalloonText">
    <w:name w:val="Balloon Text"/>
    <w:basedOn w:val="Normal"/>
    <w:link w:val="BalloonTextChar"/>
    <w:rsid w:val="00302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E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E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E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E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E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E0B"/>
    <w:pPr>
      <w:spacing w:before="0" w:after="0"/>
    </w:pPr>
  </w:style>
  <w:style w:type="paragraph" w:customStyle="1" w:styleId="BodyTextBold">
    <w:name w:val="Body Text Bold"/>
    <w:basedOn w:val="BodyText"/>
    <w:qFormat/>
    <w:rsid w:val="00302E0B"/>
    <w:rPr>
      <w:b/>
    </w:rPr>
  </w:style>
  <w:style w:type="character" w:styleId="Hyperlink">
    <w:name w:val="Hyperlink"/>
    <w:basedOn w:val="DefaultParagraphFont"/>
    <w:uiPriority w:val="99"/>
    <w:unhideWhenUsed/>
    <w:rsid w:val="008C75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482</Words>
  <Characters>3179</Characters>
  <Application>Microsoft Office Word</Application>
  <DocSecurity>0</DocSecurity>
  <Lines>83</Lines>
  <Paragraphs>64</Paragraphs>
  <ScaleCrop>false</ScaleCrop>
  <Company>Author-it Software Corporation Ltd.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CPCCBC4022 Supervise tilt-up 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