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42964" w:rsidP="00042964">
      <w:pPr>
        <w:pStyle w:val="Title"/>
      </w:pPr>
      <w:r>
        <w:fldChar w:fldCharType="begin"/>
      </w:r>
      <w:r>
        <w:instrText xml:space="preserve"> TITLE   \* MERGEFORMAT </w:instrText>
      </w:r>
      <w:r>
        <w:fldChar w:fldCharType="separate"/>
      </w:r>
      <w:r>
        <w:t>CPCCBC4017 Arrange resources and prepare for the building and construction project</w:t>
      </w:r>
      <w:r>
        <w:fldChar w:fldCharType="end"/>
      </w:r>
    </w:p>
    <w:p w:rsidR="00042964" w:rsidP="00042964">
      <w:pPr>
        <w:pStyle w:val="Version"/>
        <w:sectPr w:rsidSect="00B93E1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93E1B" w:rsidP="00B93E1B">
      <w:pPr>
        <w:pStyle w:val="SuperHeading"/>
      </w:pPr>
      <w:r w:rsidRPr="00B93E1B">
        <w:t>CPCCBC4017 Arrange resources and prepare for the building and construction project</w:t>
      </w:r>
    </w:p>
    <w:p w:rsidR="00000000" w:rsidRPr="00B93E1B" w:rsidP="00B93E1B">
      <w:pPr>
        <w:pStyle w:val="Heading1"/>
      </w:pPr>
      <w:bookmarkStart w:id="1" w:name="O_1291936"/>
      <w:bookmarkEnd w:id="1"/>
      <w:r w:rsidRPr="00B93E1B">
        <w:t>Modification History</w:t>
      </w:r>
    </w:p>
    <w:tbl>
      <w:tblPr>
        <w:tblW w:w="0" w:type="auto"/>
        <w:tblLayout w:type="fixed"/>
        <w:tblCellMar>
          <w:left w:w="62" w:type="dxa"/>
          <w:right w:w="62" w:type="dxa"/>
        </w:tblCellMar>
        <w:tblLook w:val="0000"/>
      </w:tblPr>
      <w:tblGrid>
        <w:gridCol w:w="1128"/>
        <w:gridCol w:w="7944"/>
      </w:tblGrid>
      <w:tr w:rsidTr="00B93E1B">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B93E1B">
            <w:pPr>
              <w:pStyle w:val="BodyText"/>
              <w:rPr>
                <w:lang w:val="en-NZ"/>
              </w:rPr>
            </w:pPr>
            <w:r w:rsidRPr="00B93E1B">
              <w:t>Release 2</w:t>
            </w:r>
          </w:p>
        </w:tc>
        <w:tc>
          <w:tcPr>
            <w:tcW w:w="7944" w:type="dxa"/>
            <w:tcBorders>
              <w:top w:val="nil"/>
              <w:left w:val="nil"/>
              <w:bottom w:val="nil"/>
              <w:right w:val="nil"/>
            </w:tcBorders>
            <w:tcMar>
              <w:top w:w="0" w:type="dxa"/>
              <w:left w:w="62" w:type="dxa"/>
              <w:bottom w:w="0" w:type="dxa"/>
              <w:right w:w="62" w:type="dxa"/>
            </w:tcMar>
          </w:tcPr>
          <w:p w:rsidR="00000000" w:rsidP="00B93E1B">
            <w:pPr>
              <w:pStyle w:val="BodyText"/>
              <w:rPr>
                <w:lang w:val="en-NZ"/>
              </w:rPr>
            </w:pPr>
            <w:r w:rsidRPr="00B93E1B">
              <w:t>Updated reference to general construction induction training program.</w:t>
            </w:r>
          </w:p>
        </w:tc>
      </w:tr>
      <w:tr w:rsidTr="00B93E1B">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B93E1B">
            <w:pPr>
              <w:pStyle w:val="BodyText"/>
              <w:rPr>
                <w:lang w:val="en-NZ"/>
              </w:rPr>
            </w:pPr>
            <w:r w:rsidRPr="00B93E1B">
              <w:t>Release 1</w:t>
            </w:r>
          </w:p>
        </w:tc>
        <w:tc>
          <w:tcPr>
            <w:tcW w:w="7944" w:type="dxa"/>
            <w:tcBorders>
              <w:top w:val="nil"/>
              <w:left w:val="nil"/>
              <w:bottom w:val="nil"/>
              <w:right w:val="nil"/>
            </w:tcBorders>
            <w:tcMar>
              <w:top w:w="0" w:type="dxa"/>
              <w:left w:w="62" w:type="dxa"/>
              <w:bottom w:w="0" w:type="dxa"/>
              <w:right w:w="62" w:type="dxa"/>
            </w:tcMar>
          </w:tcPr>
          <w:p w:rsidR="00000000" w:rsidRPr="00B93E1B" w:rsidP="00B93E1B">
            <w:pPr>
              <w:pStyle w:val="BodyText"/>
            </w:pPr>
            <w:r w:rsidRPr="00B93E1B">
              <w:t>This version first released with CPC Construction, Plumbing and Services Training Package Release 5.0.</w:t>
            </w:r>
          </w:p>
          <w:p w:rsidR="00000000" w:rsidRPr="00B93E1B" w:rsidP="00B93E1B">
            <w:pPr>
              <w:pStyle w:val="BodyText"/>
            </w:pPr>
            <w:r w:rsidRPr="00B93E1B">
              <w:t>Supersedes and is equivalent to CPCCBC4017A Arrange resources and prepare for the building or construction project.  Updated to meet the Standards for Tr</w:t>
            </w:r>
            <w:r w:rsidRPr="00B93E1B">
              <w:t>aining Packages 2012.</w:t>
            </w:r>
          </w:p>
        </w:tc>
      </w:tr>
    </w:tbl>
    <w:p w:rsidR="00042964" w:rsidP="00B93E1B">
      <w:pPr>
        <w:pStyle w:val="BodyText"/>
      </w:pPr>
    </w:p>
    <w:p w:rsidR="00042964" w:rsidP="00B93E1B">
      <w:pPr>
        <w:pStyle w:val="BodyText"/>
      </w:pPr>
    </w:p>
    <w:p w:rsidR="00000000" w:rsidRPr="00B93E1B" w:rsidP="00B93E1B">
      <w:pPr>
        <w:pStyle w:val="Heading1"/>
      </w:pPr>
      <w:bookmarkStart w:id="2" w:name="O_1291935"/>
      <w:bookmarkEnd w:id="2"/>
      <w:r w:rsidRPr="00B93E1B">
        <w:t>Application</w:t>
      </w:r>
    </w:p>
    <w:p w:rsidR="00000000" w:rsidRPr="00B93E1B" w:rsidP="00042964">
      <w:pPr>
        <w:pStyle w:val="BodyText"/>
      </w:pPr>
      <w:r w:rsidRPr="00B93E1B">
        <w:t>This unit of competency specifies the skills and knowledge required to identify and procure the necessary on-site physical and human resources and systematically apply the supply process for a buildin</w:t>
      </w:r>
      <w:r w:rsidRPr="00B93E1B">
        <w:t>g and construction project. It includes notifying external agencies, employees and contractors and coordinating activities to meet scheduled timeframes.</w:t>
      </w:r>
    </w:p>
    <w:p w:rsidR="00000000" w:rsidRPr="00B93E1B" w:rsidP="00042964">
      <w:pPr>
        <w:pStyle w:val="BodyText"/>
      </w:pPr>
      <w:r w:rsidRPr="00B93E1B">
        <w:t xml:space="preserve">It applies to National Construction Code (NCC) classifications: </w:t>
      </w:r>
    </w:p>
    <w:p w:rsidR="00000000" w:rsidRPr="00B93E1B" w:rsidP="00B93E1B">
      <w:pPr>
        <w:pStyle w:val="ListBullet"/>
      </w:pPr>
      <w:r w:rsidRPr="00B93E1B">
        <w:t>Residential - Class 1 and 10 building</w:t>
      </w:r>
      <w:r w:rsidRPr="00B93E1B">
        <w:t xml:space="preserve">s, maximum two storeys </w:t>
      </w:r>
    </w:p>
    <w:p w:rsidR="00000000" w:rsidRPr="00B93E1B" w:rsidP="00B93E1B">
      <w:pPr>
        <w:pStyle w:val="ListBullet"/>
      </w:pPr>
      <w:r w:rsidRPr="00B93E1B">
        <w:t xml:space="preserve">Commercial - Class 2 to 9, Type C only constructions. </w:t>
      </w:r>
    </w:p>
    <w:p w:rsidR="00000000" w:rsidRPr="00B93E1B" w:rsidP="00042964">
      <w:pPr>
        <w:pStyle w:val="BodyText"/>
      </w:pPr>
      <w:r w:rsidRPr="00B93E1B">
        <w:t xml:space="preserve">This unit of competency applies to builders, site managers and forepersons, estimators and other building and construction industry professionals who are responsible </w:t>
      </w:r>
      <w:r w:rsidRPr="00B93E1B">
        <w:t>for pre-construction preparation of residential and commercial construction projects.</w:t>
      </w:r>
    </w:p>
    <w:p w:rsidR="00000000" w:rsidRPr="00B93E1B" w:rsidP="00042964">
      <w:pPr>
        <w:pStyle w:val="BodyText"/>
      </w:pPr>
      <w:r w:rsidRPr="00B93E1B">
        <w:t>This unit of competency is suitable for those using specialised knowledge to complete routine and non-routine tasks and using their own judgement to deal with predictable</w:t>
      </w:r>
      <w:r w:rsidRPr="00B93E1B">
        <w:t xml:space="preserve"> and sometimes unpredictable problems.</w:t>
      </w:r>
    </w:p>
    <w:p w:rsidR="00000000" w:rsidRPr="00B93E1B" w:rsidP="00042964">
      <w:pPr>
        <w:pStyle w:val="BodyText"/>
      </w:pPr>
      <w:r w:rsidRPr="00B93E1B">
        <w:t>Completion of the general construction induction training program specified by the model Code of Practice for Construction Work is required for any person who is to carry out construction work.  Achievement of CPCWHS1</w:t>
      </w:r>
      <w:r w:rsidRPr="00B93E1B">
        <w:t>001 Prepare to work safely in the construction industry</w:t>
      </w:r>
      <w:r w:rsidRPr="00B93E1B">
        <w:rPr>
          <w:rStyle w:val="Emphasis"/>
        </w:rPr>
        <w:t xml:space="preserve"> </w:t>
      </w:r>
      <w:r w:rsidRPr="00B93E1B">
        <w:t>meets this requirement.</w:t>
      </w:r>
    </w:p>
    <w:p w:rsidR="00000000" w:rsidRPr="00B93E1B" w:rsidP="00042964">
      <w:pPr>
        <w:pStyle w:val="BodyText"/>
      </w:pPr>
      <w:r w:rsidRPr="00B93E1B">
        <w:t>No licensing, legislative or certification requirements apply to this unit at the time of publication.</w:t>
      </w:r>
    </w:p>
    <w:p w:rsidR="00000000" w:rsidRPr="00B93E1B" w:rsidP="00B93E1B">
      <w:pPr>
        <w:pStyle w:val="Heading1"/>
      </w:pPr>
      <w:bookmarkStart w:id="3" w:name="O_1291934"/>
      <w:bookmarkEnd w:id="3"/>
      <w:r w:rsidRPr="00B93E1B">
        <w:t>Pre-requisite Unit</w:t>
      </w:r>
    </w:p>
    <w:p w:rsidR="00000000" w:rsidRPr="00B93E1B" w:rsidP="00042964">
      <w:pPr>
        <w:pStyle w:val="BodyText"/>
      </w:pPr>
      <w:r w:rsidRPr="00B93E1B">
        <w:t>Nil.</w:t>
      </w:r>
    </w:p>
    <w:p w:rsidR="00000000" w:rsidRPr="00B93E1B" w:rsidP="00B93E1B">
      <w:pPr>
        <w:pStyle w:val="Heading1"/>
      </w:pPr>
      <w:bookmarkStart w:id="4" w:name="O_1291933"/>
      <w:bookmarkEnd w:id="4"/>
      <w:r w:rsidRPr="00B93E1B">
        <w:t>Unit Sector</w:t>
      </w:r>
    </w:p>
    <w:p w:rsidR="00000000" w:rsidRPr="00B93E1B" w:rsidP="00042964">
      <w:pPr>
        <w:pStyle w:val="BodyText"/>
      </w:pPr>
      <w:r w:rsidRPr="00B93E1B">
        <w:t>Building and Construction</w:t>
      </w:r>
    </w:p>
    <w:p w:rsidR="00000000" w:rsidRPr="00B93E1B" w:rsidP="00B93E1B">
      <w:pPr>
        <w:pStyle w:val="Heading1"/>
      </w:pPr>
      <w:bookmarkStart w:id="5" w:name="O_1291932"/>
      <w:bookmarkEnd w:id="5"/>
      <w:r w:rsidRPr="00B93E1B">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B93E1B">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B93E1B">
            <w:pPr>
              <w:pStyle w:val="BodyText"/>
              <w:rPr>
                <w:lang w:val="en-NZ"/>
              </w:rPr>
            </w:pPr>
            <w:r w:rsidRPr="00B93E1B">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B93E1B">
            <w:pPr>
              <w:pStyle w:val="BodyText"/>
              <w:rPr>
                <w:lang w:val="en-NZ"/>
              </w:rPr>
            </w:pPr>
            <w:r w:rsidRPr="00B93E1B">
              <w:t>Performance criteria describe what needs to be done to demonstrate achievement of the element.</w:t>
            </w:r>
          </w:p>
        </w:tc>
      </w:tr>
      <w:tr w:rsidTr="00B93E1B">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B93E1B">
            <w:pPr>
              <w:pStyle w:val="BodyText"/>
              <w:rPr>
                <w:lang w:val="en-NZ"/>
              </w:rPr>
            </w:pPr>
            <w:r w:rsidRPr="00B93E1B">
              <w:t>1</w:t>
            </w:r>
          </w:p>
        </w:tc>
        <w:tc>
          <w:tcPr>
            <w:tcW w:w="2357" w:type="dxa"/>
            <w:vMerge w:val="restart"/>
            <w:tcBorders>
              <w:top w:val="nil"/>
              <w:left w:val="nil"/>
              <w:bottom w:val="nil"/>
              <w:right w:val="nil"/>
            </w:tcBorders>
            <w:tcMar>
              <w:top w:w="0" w:type="dxa"/>
              <w:left w:w="62" w:type="dxa"/>
              <w:bottom w:w="0" w:type="dxa"/>
              <w:right w:w="62" w:type="dxa"/>
            </w:tcMar>
          </w:tcPr>
          <w:p w:rsidR="00000000" w:rsidP="00B93E1B">
            <w:pPr>
              <w:pStyle w:val="BodyText"/>
              <w:rPr>
                <w:lang w:val="en-NZ"/>
              </w:rPr>
            </w:pPr>
            <w:r w:rsidRPr="00B93E1B">
              <w:t>Complete preliminary construction requirements.</w:t>
            </w:r>
          </w:p>
        </w:tc>
        <w:tc>
          <w:tcPr>
            <w:tcW w:w="804" w:type="dxa"/>
            <w:tcBorders>
              <w:top w:val="nil"/>
              <w:left w:val="nil"/>
              <w:bottom w:val="nil"/>
              <w:right w:val="nil"/>
            </w:tcBorders>
            <w:tcMar>
              <w:top w:w="0" w:type="dxa"/>
              <w:left w:w="62" w:type="dxa"/>
              <w:bottom w:w="0" w:type="dxa"/>
              <w:right w:w="62" w:type="dxa"/>
            </w:tcMar>
          </w:tcPr>
          <w:p w:rsidR="00000000" w:rsidP="00B93E1B">
            <w:pPr>
              <w:pStyle w:val="BodyText"/>
              <w:rPr>
                <w:lang w:val="en-NZ"/>
              </w:rPr>
            </w:pPr>
            <w:r w:rsidRPr="00B93E1B">
              <w:t>1.1</w:t>
            </w:r>
          </w:p>
        </w:tc>
        <w:tc>
          <w:tcPr>
            <w:tcW w:w="5659" w:type="dxa"/>
            <w:tcBorders>
              <w:top w:val="nil"/>
              <w:left w:val="nil"/>
              <w:bottom w:val="nil"/>
              <w:right w:val="nil"/>
            </w:tcBorders>
            <w:tcMar>
              <w:top w:w="0" w:type="dxa"/>
              <w:left w:w="62" w:type="dxa"/>
              <w:bottom w:w="0" w:type="dxa"/>
              <w:right w:w="62" w:type="dxa"/>
            </w:tcMar>
          </w:tcPr>
          <w:p w:rsidR="00000000" w:rsidP="00B93E1B">
            <w:pPr>
              <w:pStyle w:val="BodyText"/>
              <w:rPr>
                <w:lang w:val="en-NZ"/>
              </w:rPr>
            </w:pPr>
            <w:r w:rsidRPr="00B93E1B">
              <w:t>Source, read and interpret relevant project documentation.</w:t>
            </w:r>
          </w:p>
        </w:tc>
      </w:tr>
      <w:tr w:rsidTr="00B93E1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93E1B">
            <w:pPr>
              <w:pStyle w:val="BodyText"/>
              <w:rPr>
                <w:lang w:val="en-NZ"/>
              </w:rPr>
            </w:pPr>
            <w:r w:rsidRPr="00B93E1B">
              <w:t>1.2</w:t>
            </w:r>
          </w:p>
        </w:tc>
        <w:tc>
          <w:tcPr>
            <w:tcW w:w="5659" w:type="dxa"/>
            <w:tcBorders>
              <w:top w:val="nil"/>
              <w:left w:val="nil"/>
              <w:bottom w:val="nil"/>
              <w:right w:val="nil"/>
            </w:tcBorders>
            <w:tcMar>
              <w:top w:w="0" w:type="dxa"/>
              <w:left w:w="62" w:type="dxa"/>
              <w:bottom w:w="0" w:type="dxa"/>
              <w:right w:w="62" w:type="dxa"/>
            </w:tcMar>
          </w:tcPr>
          <w:p w:rsidR="00000000" w:rsidP="00B93E1B">
            <w:pPr>
              <w:pStyle w:val="BodyText"/>
              <w:rPr>
                <w:lang w:val="en-NZ"/>
              </w:rPr>
            </w:pPr>
            <w:r w:rsidRPr="00B93E1B">
              <w:t>Set site handover date with client once appropriate fees are confirmed paid with relevant persons.</w:t>
            </w:r>
          </w:p>
        </w:tc>
      </w:tr>
      <w:tr w:rsidTr="00B93E1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93E1B">
            <w:pPr>
              <w:pStyle w:val="BodyText"/>
              <w:rPr>
                <w:lang w:val="en-NZ"/>
              </w:rPr>
            </w:pPr>
            <w:r w:rsidRPr="00B93E1B">
              <w:t>1.3</w:t>
            </w:r>
          </w:p>
        </w:tc>
        <w:tc>
          <w:tcPr>
            <w:tcW w:w="5659" w:type="dxa"/>
            <w:tcBorders>
              <w:top w:val="nil"/>
              <w:left w:val="nil"/>
              <w:bottom w:val="nil"/>
              <w:right w:val="nil"/>
            </w:tcBorders>
            <w:tcMar>
              <w:top w:w="0" w:type="dxa"/>
              <w:left w:w="62" w:type="dxa"/>
              <w:bottom w:w="0" w:type="dxa"/>
              <w:right w:w="62" w:type="dxa"/>
            </w:tcMar>
          </w:tcPr>
          <w:p w:rsidR="00000000" w:rsidP="00B93E1B">
            <w:pPr>
              <w:pStyle w:val="BodyText"/>
              <w:rPr>
                <w:lang w:val="en-NZ"/>
              </w:rPr>
            </w:pPr>
            <w:r w:rsidRPr="00B93E1B">
              <w:t>Establish and provide insurance and security requirements.</w:t>
            </w:r>
          </w:p>
        </w:tc>
      </w:tr>
      <w:tr w:rsidTr="00B93E1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93E1B">
            <w:pPr>
              <w:pStyle w:val="BodyText"/>
              <w:rPr>
                <w:lang w:val="en-NZ"/>
              </w:rPr>
            </w:pPr>
            <w:r w:rsidRPr="00B93E1B">
              <w:t>1.4</w:t>
            </w:r>
          </w:p>
        </w:tc>
        <w:tc>
          <w:tcPr>
            <w:tcW w:w="5659" w:type="dxa"/>
            <w:tcBorders>
              <w:top w:val="nil"/>
              <w:left w:val="nil"/>
              <w:bottom w:val="nil"/>
              <w:right w:val="nil"/>
            </w:tcBorders>
            <w:tcMar>
              <w:top w:w="0" w:type="dxa"/>
              <w:left w:w="62" w:type="dxa"/>
              <w:bottom w:w="0" w:type="dxa"/>
              <w:right w:w="62" w:type="dxa"/>
            </w:tcMar>
          </w:tcPr>
          <w:p w:rsidR="00000000" w:rsidP="00B93E1B">
            <w:pPr>
              <w:pStyle w:val="BodyText"/>
              <w:rPr>
                <w:lang w:val="en-NZ"/>
              </w:rPr>
            </w:pPr>
            <w:r w:rsidRPr="00B93E1B">
              <w:t>Notify authorities of the commencement of scheduled works.</w:t>
            </w:r>
          </w:p>
        </w:tc>
      </w:tr>
      <w:tr w:rsidTr="00B93E1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93E1B">
            <w:pPr>
              <w:pStyle w:val="BodyText"/>
              <w:rPr>
                <w:lang w:val="en-NZ"/>
              </w:rPr>
            </w:pPr>
            <w:r w:rsidRPr="00B93E1B">
              <w:t>1.5</w:t>
            </w:r>
          </w:p>
        </w:tc>
        <w:tc>
          <w:tcPr>
            <w:tcW w:w="5659" w:type="dxa"/>
            <w:tcBorders>
              <w:top w:val="nil"/>
              <w:left w:val="nil"/>
              <w:bottom w:val="nil"/>
              <w:right w:val="nil"/>
            </w:tcBorders>
            <w:tcMar>
              <w:top w:w="0" w:type="dxa"/>
              <w:left w:w="62" w:type="dxa"/>
              <w:bottom w:w="0" w:type="dxa"/>
              <w:right w:w="62" w:type="dxa"/>
            </w:tcMar>
          </w:tcPr>
          <w:p w:rsidR="00000000" w:rsidP="00B93E1B">
            <w:pPr>
              <w:pStyle w:val="BodyText"/>
              <w:rPr>
                <w:lang w:val="en-NZ"/>
              </w:rPr>
            </w:pPr>
            <w:r w:rsidRPr="00B93E1B">
              <w:t>Determine and advise relevant persons of work, parking and other restrictions.</w:t>
            </w:r>
          </w:p>
        </w:tc>
      </w:tr>
      <w:tr w:rsidTr="00B93E1B">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B93E1B">
            <w:pPr>
              <w:pStyle w:val="BodyText"/>
              <w:rPr>
                <w:lang w:val="en-NZ"/>
              </w:rPr>
            </w:pPr>
          </w:p>
        </w:tc>
      </w:tr>
      <w:tr w:rsidTr="00B93E1B">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B93E1B">
            <w:pPr>
              <w:pStyle w:val="BodyText"/>
              <w:rPr>
                <w:lang w:val="en-NZ"/>
              </w:rPr>
            </w:pPr>
            <w:r w:rsidRPr="00B93E1B">
              <w:t>2</w:t>
            </w:r>
          </w:p>
        </w:tc>
        <w:tc>
          <w:tcPr>
            <w:tcW w:w="2357" w:type="dxa"/>
            <w:vMerge w:val="restart"/>
            <w:tcBorders>
              <w:top w:val="nil"/>
              <w:left w:val="nil"/>
              <w:bottom w:val="nil"/>
              <w:right w:val="nil"/>
            </w:tcBorders>
            <w:tcMar>
              <w:top w:w="0" w:type="dxa"/>
              <w:left w:w="62" w:type="dxa"/>
              <w:bottom w:w="0" w:type="dxa"/>
              <w:right w:w="62" w:type="dxa"/>
            </w:tcMar>
          </w:tcPr>
          <w:p w:rsidR="00000000" w:rsidP="00B93E1B">
            <w:pPr>
              <w:pStyle w:val="BodyText"/>
              <w:rPr>
                <w:lang w:val="en-NZ"/>
              </w:rPr>
            </w:pPr>
            <w:r w:rsidRPr="00B93E1B">
              <w:t>Organise on-site services and facilities.</w:t>
            </w:r>
          </w:p>
        </w:tc>
        <w:tc>
          <w:tcPr>
            <w:tcW w:w="804" w:type="dxa"/>
            <w:tcBorders>
              <w:top w:val="nil"/>
              <w:left w:val="nil"/>
              <w:bottom w:val="nil"/>
              <w:right w:val="nil"/>
            </w:tcBorders>
            <w:tcMar>
              <w:top w:w="0" w:type="dxa"/>
              <w:left w:w="62" w:type="dxa"/>
              <w:bottom w:w="0" w:type="dxa"/>
              <w:right w:w="62" w:type="dxa"/>
            </w:tcMar>
          </w:tcPr>
          <w:p w:rsidR="00000000" w:rsidP="00B93E1B">
            <w:pPr>
              <w:pStyle w:val="BodyText"/>
              <w:rPr>
                <w:lang w:val="en-NZ"/>
              </w:rPr>
            </w:pPr>
            <w:r w:rsidRPr="00B93E1B">
              <w:t>2.1</w:t>
            </w:r>
          </w:p>
        </w:tc>
        <w:tc>
          <w:tcPr>
            <w:tcW w:w="5659" w:type="dxa"/>
            <w:tcBorders>
              <w:top w:val="nil"/>
              <w:left w:val="nil"/>
              <w:bottom w:val="nil"/>
              <w:right w:val="nil"/>
            </w:tcBorders>
            <w:tcMar>
              <w:top w:w="0" w:type="dxa"/>
              <w:left w:w="62" w:type="dxa"/>
              <w:bottom w:w="0" w:type="dxa"/>
              <w:right w:w="62" w:type="dxa"/>
            </w:tcMar>
          </w:tcPr>
          <w:p w:rsidR="00000000" w:rsidP="00B93E1B">
            <w:pPr>
              <w:pStyle w:val="BodyText"/>
              <w:rPr>
                <w:lang w:val="en-NZ"/>
              </w:rPr>
            </w:pPr>
            <w:r w:rsidRPr="00B93E1B">
              <w:t xml:space="preserve">Identify requirements for on-site facilities and services. </w:t>
            </w:r>
          </w:p>
        </w:tc>
      </w:tr>
      <w:tr w:rsidTr="00B93E1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93E1B">
            <w:pPr>
              <w:pStyle w:val="BodyText"/>
              <w:rPr>
                <w:lang w:val="en-NZ"/>
              </w:rPr>
            </w:pPr>
            <w:r w:rsidRPr="00B93E1B">
              <w:t>2.2</w:t>
            </w:r>
          </w:p>
        </w:tc>
        <w:tc>
          <w:tcPr>
            <w:tcW w:w="5659" w:type="dxa"/>
            <w:tcBorders>
              <w:top w:val="nil"/>
              <w:left w:val="nil"/>
              <w:bottom w:val="nil"/>
              <w:right w:val="nil"/>
            </w:tcBorders>
            <w:tcMar>
              <w:top w:w="0" w:type="dxa"/>
              <w:left w:w="62" w:type="dxa"/>
              <w:bottom w:w="0" w:type="dxa"/>
              <w:right w:w="62" w:type="dxa"/>
            </w:tcMar>
          </w:tcPr>
          <w:p w:rsidR="00000000" w:rsidP="00B93E1B">
            <w:pPr>
              <w:pStyle w:val="BodyText"/>
              <w:rPr>
                <w:lang w:val="en-NZ"/>
              </w:rPr>
            </w:pPr>
            <w:r w:rsidRPr="00B93E1B">
              <w:t>Arrange, receive and position site office, storage sheds and on-site toilets and facilities.</w:t>
            </w:r>
          </w:p>
        </w:tc>
      </w:tr>
      <w:tr w:rsidTr="00B93E1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93E1B">
            <w:pPr>
              <w:pStyle w:val="BodyText"/>
              <w:rPr>
                <w:lang w:val="en-NZ"/>
              </w:rPr>
            </w:pPr>
            <w:r w:rsidRPr="00B93E1B">
              <w:t>2.3</w:t>
            </w:r>
          </w:p>
        </w:tc>
        <w:tc>
          <w:tcPr>
            <w:tcW w:w="5659" w:type="dxa"/>
            <w:tcBorders>
              <w:top w:val="nil"/>
              <w:left w:val="nil"/>
              <w:bottom w:val="nil"/>
              <w:right w:val="nil"/>
            </w:tcBorders>
            <w:tcMar>
              <w:top w:w="0" w:type="dxa"/>
              <w:left w:w="62" w:type="dxa"/>
              <w:bottom w:w="0" w:type="dxa"/>
              <w:right w:w="62" w:type="dxa"/>
            </w:tcMar>
          </w:tcPr>
          <w:p w:rsidR="00000000" w:rsidP="00B93E1B">
            <w:pPr>
              <w:pStyle w:val="BodyText"/>
              <w:rPr>
                <w:lang w:val="en-NZ"/>
              </w:rPr>
            </w:pPr>
            <w:r w:rsidRPr="00B93E1B">
              <w:t>Identify and develop processes to protect or utilise existing services at the site.</w:t>
            </w:r>
          </w:p>
        </w:tc>
      </w:tr>
      <w:tr w:rsidTr="00B93E1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93E1B">
            <w:pPr>
              <w:pStyle w:val="BodyText"/>
              <w:rPr>
                <w:lang w:val="en-NZ"/>
              </w:rPr>
            </w:pPr>
            <w:r w:rsidRPr="00B93E1B">
              <w:t>2.4</w:t>
            </w:r>
          </w:p>
        </w:tc>
        <w:tc>
          <w:tcPr>
            <w:tcW w:w="5659" w:type="dxa"/>
            <w:tcBorders>
              <w:top w:val="nil"/>
              <w:left w:val="nil"/>
              <w:bottom w:val="nil"/>
              <w:right w:val="nil"/>
            </w:tcBorders>
            <w:tcMar>
              <w:top w:w="0" w:type="dxa"/>
              <w:left w:w="62" w:type="dxa"/>
              <w:bottom w:w="0" w:type="dxa"/>
              <w:right w:w="62" w:type="dxa"/>
            </w:tcMar>
          </w:tcPr>
          <w:p w:rsidR="00000000" w:rsidP="00B93E1B">
            <w:pPr>
              <w:pStyle w:val="BodyText"/>
              <w:rPr>
                <w:lang w:val="en-NZ"/>
              </w:rPr>
            </w:pPr>
            <w:r w:rsidRPr="00B93E1B">
              <w:t>Arrange temporary power and water connections with service providers.</w:t>
            </w:r>
          </w:p>
        </w:tc>
      </w:tr>
      <w:tr w:rsidTr="00B93E1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93E1B">
            <w:pPr>
              <w:pStyle w:val="BodyText"/>
              <w:rPr>
                <w:lang w:val="en-NZ"/>
              </w:rPr>
            </w:pPr>
            <w:r w:rsidRPr="00B93E1B">
              <w:t>2.5</w:t>
            </w:r>
          </w:p>
        </w:tc>
        <w:tc>
          <w:tcPr>
            <w:tcW w:w="5659" w:type="dxa"/>
            <w:tcBorders>
              <w:top w:val="nil"/>
              <w:left w:val="nil"/>
              <w:bottom w:val="nil"/>
              <w:right w:val="nil"/>
            </w:tcBorders>
            <w:tcMar>
              <w:top w:w="0" w:type="dxa"/>
              <w:left w:w="62" w:type="dxa"/>
              <w:bottom w:w="0" w:type="dxa"/>
              <w:right w:w="62" w:type="dxa"/>
            </w:tcMar>
          </w:tcPr>
          <w:p w:rsidR="00000000" w:rsidP="00B93E1B">
            <w:pPr>
              <w:pStyle w:val="BodyText"/>
              <w:rPr>
                <w:lang w:val="en-NZ"/>
              </w:rPr>
            </w:pPr>
            <w:r w:rsidRPr="00B93E1B">
              <w:t>Identify and meet council requirements for temporary site set-up.</w:t>
            </w:r>
          </w:p>
        </w:tc>
      </w:tr>
      <w:tr w:rsidTr="00B93E1B">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B93E1B">
            <w:pPr>
              <w:pStyle w:val="BodyText"/>
              <w:rPr>
                <w:lang w:val="en-NZ"/>
              </w:rPr>
            </w:pPr>
          </w:p>
        </w:tc>
      </w:tr>
      <w:tr w:rsidTr="00B93E1B">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B93E1B">
            <w:pPr>
              <w:pStyle w:val="BodyText"/>
              <w:rPr>
                <w:lang w:val="en-NZ"/>
              </w:rPr>
            </w:pPr>
            <w:r w:rsidRPr="00B93E1B">
              <w:t>3</w:t>
            </w:r>
          </w:p>
        </w:tc>
        <w:tc>
          <w:tcPr>
            <w:tcW w:w="2357" w:type="dxa"/>
            <w:vMerge w:val="restart"/>
            <w:tcBorders>
              <w:top w:val="nil"/>
              <w:left w:val="nil"/>
              <w:bottom w:val="nil"/>
              <w:right w:val="nil"/>
            </w:tcBorders>
            <w:tcMar>
              <w:top w:w="0" w:type="dxa"/>
              <w:left w:w="62" w:type="dxa"/>
              <w:bottom w:w="0" w:type="dxa"/>
              <w:right w:w="62" w:type="dxa"/>
            </w:tcMar>
          </w:tcPr>
          <w:p w:rsidR="00000000" w:rsidP="00B93E1B">
            <w:pPr>
              <w:pStyle w:val="BodyText"/>
              <w:rPr>
                <w:lang w:val="en-NZ"/>
              </w:rPr>
            </w:pPr>
            <w:r w:rsidRPr="00B93E1B">
              <w:t>Arran</w:t>
            </w:r>
            <w:r w:rsidRPr="00B93E1B">
              <w:t>ge public protection.</w:t>
            </w:r>
          </w:p>
        </w:tc>
        <w:tc>
          <w:tcPr>
            <w:tcW w:w="804" w:type="dxa"/>
            <w:tcBorders>
              <w:top w:val="nil"/>
              <w:left w:val="nil"/>
              <w:bottom w:val="nil"/>
              <w:right w:val="nil"/>
            </w:tcBorders>
            <w:tcMar>
              <w:top w:w="0" w:type="dxa"/>
              <w:left w:w="62" w:type="dxa"/>
              <w:bottom w:w="0" w:type="dxa"/>
              <w:right w:w="62" w:type="dxa"/>
            </w:tcMar>
          </w:tcPr>
          <w:p w:rsidR="00000000" w:rsidP="00B93E1B">
            <w:pPr>
              <w:pStyle w:val="BodyText"/>
              <w:rPr>
                <w:lang w:val="en-NZ"/>
              </w:rPr>
            </w:pPr>
            <w:r w:rsidRPr="00B93E1B">
              <w:t>3.1</w:t>
            </w:r>
          </w:p>
        </w:tc>
        <w:tc>
          <w:tcPr>
            <w:tcW w:w="5659" w:type="dxa"/>
            <w:tcBorders>
              <w:top w:val="nil"/>
              <w:left w:val="nil"/>
              <w:bottom w:val="nil"/>
              <w:right w:val="nil"/>
            </w:tcBorders>
            <w:tcMar>
              <w:top w:w="0" w:type="dxa"/>
              <w:left w:w="62" w:type="dxa"/>
              <w:bottom w:w="0" w:type="dxa"/>
              <w:right w:w="62" w:type="dxa"/>
            </w:tcMar>
          </w:tcPr>
          <w:p w:rsidR="00000000" w:rsidP="00B93E1B">
            <w:pPr>
              <w:pStyle w:val="BodyText"/>
              <w:rPr>
                <w:lang w:val="en-NZ"/>
              </w:rPr>
            </w:pPr>
            <w:r w:rsidRPr="00B93E1B">
              <w:t>Follow work health and safety (WHS) and local authority authorisations for site setup.</w:t>
            </w:r>
          </w:p>
        </w:tc>
      </w:tr>
      <w:tr w:rsidTr="00B93E1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93E1B">
            <w:pPr>
              <w:pStyle w:val="BodyText"/>
              <w:rPr>
                <w:lang w:val="en-NZ"/>
              </w:rPr>
            </w:pPr>
            <w:r w:rsidRPr="00B93E1B">
              <w:t>3.2</w:t>
            </w:r>
          </w:p>
        </w:tc>
        <w:tc>
          <w:tcPr>
            <w:tcW w:w="5659" w:type="dxa"/>
            <w:tcBorders>
              <w:top w:val="nil"/>
              <w:left w:val="nil"/>
              <w:bottom w:val="nil"/>
              <w:right w:val="nil"/>
            </w:tcBorders>
            <w:tcMar>
              <w:top w:w="0" w:type="dxa"/>
              <w:left w:w="62" w:type="dxa"/>
              <w:bottom w:w="0" w:type="dxa"/>
              <w:right w:w="62" w:type="dxa"/>
            </w:tcMar>
          </w:tcPr>
          <w:p w:rsidR="00000000" w:rsidP="00B93E1B">
            <w:pPr>
              <w:pStyle w:val="BodyText"/>
              <w:rPr>
                <w:lang w:val="en-NZ"/>
              </w:rPr>
            </w:pPr>
            <w:r w:rsidRPr="00B93E1B">
              <w:t xml:space="preserve">Erect compliant hoardings, fencing and signage.  </w:t>
            </w:r>
          </w:p>
        </w:tc>
      </w:tr>
      <w:tr w:rsidTr="00B93E1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93E1B">
            <w:pPr>
              <w:pStyle w:val="BodyText"/>
              <w:rPr>
                <w:lang w:val="en-NZ"/>
              </w:rPr>
            </w:pPr>
            <w:r w:rsidRPr="00B93E1B">
              <w:t>3.3</w:t>
            </w:r>
          </w:p>
        </w:tc>
        <w:tc>
          <w:tcPr>
            <w:tcW w:w="5659" w:type="dxa"/>
            <w:tcBorders>
              <w:top w:val="nil"/>
              <w:left w:val="nil"/>
              <w:bottom w:val="nil"/>
              <w:right w:val="nil"/>
            </w:tcBorders>
            <w:tcMar>
              <w:top w:w="0" w:type="dxa"/>
              <w:left w:w="62" w:type="dxa"/>
              <w:bottom w:w="0" w:type="dxa"/>
              <w:right w:w="62" w:type="dxa"/>
            </w:tcMar>
          </w:tcPr>
          <w:p w:rsidR="00000000" w:rsidP="00B93E1B">
            <w:pPr>
              <w:pStyle w:val="BodyText"/>
              <w:rPr>
                <w:lang w:val="en-NZ"/>
              </w:rPr>
            </w:pPr>
            <w:r w:rsidRPr="00B93E1B">
              <w:t>Arrange temporary site access and egress to meet local authority requirements.</w:t>
            </w:r>
          </w:p>
        </w:tc>
      </w:tr>
      <w:tr w:rsidTr="00B93E1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93E1B">
            <w:pPr>
              <w:pStyle w:val="BodyText"/>
              <w:rPr>
                <w:lang w:val="en-NZ"/>
              </w:rPr>
            </w:pPr>
            <w:r w:rsidRPr="00B93E1B">
              <w:t>3.4</w:t>
            </w:r>
          </w:p>
        </w:tc>
        <w:tc>
          <w:tcPr>
            <w:tcW w:w="5659" w:type="dxa"/>
            <w:tcBorders>
              <w:top w:val="nil"/>
              <w:left w:val="nil"/>
              <w:bottom w:val="nil"/>
              <w:right w:val="nil"/>
            </w:tcBorders>
            <w:tcMar>
              <w:top w:w="0" w:type="dxa"/>
              <w:left w:w="62" w:type="dxa"/>
              <w:bottom w:w="0" w:type="dxa"/>
              <w:right w:w="62" w:type="dxa"/>
            </w:tcMar>
          </w:tcPr>
          <w:p w:rsidR="00000000" w:rsidP="00B93E1B">
            <w:pPr>
              <w:pStyle w:val="BodyText"/>
              <w:rPr>
                <w:lang w:val="en-NZ"/>
              </w:rPr>
            </w:pPr>
            <w:r w:rsidRPr="00B93E1B">
              <w:t>Organise waste facilities and waste removal.</w:t>
            </w:r>
          </w:p>
        </w:tc>
      </w:tr>
      <w:tr w:rsidTr="00B93E1B">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B93E1B">
            <w:pPr>
              <w:pStyle w:val="BodyText"/>
              <w:rPr>
                <w:lang w:val="en-NZ"/>
              </w:rPr>
            </w:pPr>
          </w:p>
        </w:tc>
      </w:tr>
      <w:tr w:rsidTr="00B93E1B">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B93E1B">
            <w:pPr>
              <w:pStyle w:val="BodyText"/>
              <w:rPr>
                <w:lang w:val="en-NZ"/>
              </w:rPr>
            </w:pPr>
            <w:r w:rsidRPr="00B93E1B">
              <w:t>4</w:t>
            </w:r>
          </w:p>
        </w:tc>
        <w:tc>
          <w:tcPr>
            <w:tcW w:w="2357" w:type="dxa"/>
            <w:vMerge w:val="restart"/>
            <w:tcBorders>
              <w:top w:val="nil"/>
              <w:left w:val="nil"/>
              <w:bottom w:val="nil"/>
              <w:right w:val="nil"/>
            </w:tcBorders>
            <w:tcMar>
              <w:top w:w="0" w:type="dxa"/>
              <w:left w:w="62" w:type="dxa"/>
              <w:bottom w:w="0" w:type="dxa"/>
              <w:right w:w="62" w:type="dxa"/>
            </w:tcMar>
          </w:tcPr>
          <w:p w:rsidR="00000000" w:rsidP="00B93E1B">
            <w:pPr>
              <w:pStyle w:val="BodyText"/>
              <w:rPr>
                <w:lang w:val="en-NZ"/>
              </w:rPr>
            </w:pPr>
            <w:r w:rsidRPr="00B93E1B">
              <w:t>Organise on-site delivery.</w:t>
            </w:r>
          </w:p>
        </w:tc>
        <w:tc>
          <w:tcPr>
            <w:tcW w:w="804" w:type="dxa"/>
            <w:tcBorders>
              <w:top w:val="nil"/>
              <w:left w:val="nil"/>
              <w:bottom w:val="nil"/>
              <w:right w:val="nil"/>
            </w:tcBorders>
            <w:tcMar>
              <w:top w:w="0" w:type="dxa"/>
              <w:left w:w="62" w:type="dxa"/>
              <w:bottom w:w="0" w:type="dxa"/>
              <w:right w:w="62" w:type="dxa"/>
            </w:tcMar>
          </w:tcPr>
          <w:p w:rsidR="00000000" w:rsidP="00B93E1B">
            <w:pPr>
              <w:pStyle w:val="BodyText"/>
              <w:rPr>
                <w:lang w:val="en-NZ"/>
              </w:rPr>
            </w:pPr>
            <w:r w:rsidRPr="00B93E1B">
              <w:t>4.1</w:t>
            </w:r>
          </w:p>
        </w:tc>
        <w:tc>
          <w:tcPr>
            <w:tcW w:w="5659" w:type="dxa"/>
            <w:tcBorders>
              <w:top w:val="nil"/>
              <w:left w:val="nil"/>
              <w:bottom w:val="nil"/>
              <w:right w:val="nil"/>
            </w:tcBorders>
            <w:tcMar>
              <w:top w:w="0" w:type="dxa"/>
              <w:left w:w="62" w:type="dxa"/>
              <w:bottom w:w="0" w:type="dxa"/>
              <w:right w:w="62" w:type="dxa"/>
            </w:tcMar>
          </w:tcPr>
          <w:p w:rsidR="00000000" w:rsidP="00B93E1B">
            <w:pPr>
              <w:pStyle w:val="BodyText"/>
              <w:rPr>
                <w:lang w:val="en-NZ"/>
              </w:rPr>
            </w:pPr>
            <w:r w:rsidRPr="00B93E1B">
              <w:t>Confirm and order materials to meet scheduled delivery dates.</w:t>
            </w:r>
          </w:p>
        </w:tc>
      </w:tr>
      <w:tr w:rsidTr="00B93E1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93E1B">
            <w:pPr>
              <w:pStyle w:val="BodyText"/>
              <w:rPr>
                <w:lang w:val="en-NZ"/>
              </w:rPr>
            </w:pPr>
            <w:r w:rsidRPr="00B93E1B">
              <w:t>4.2</w:t>
            </w:r>
          </w:p>
        </w:tc>
        <w:tc>
          <w:tcPr>
            <w:tcW w:w="5659" w:type="dxa"/>
            <w:tcBorders>
              <w:top w:val="nil"/>
              <w:left w:val="nil"/>
              <w:bottom w:val="nil"/>
              <w:right w:val="nil"/>
            </w:tcBorders>
            <w:tcMar>
              <w:top w:w="0" w:type="dxa"/>
              <w:left w:w="62" w:type="dxa"/>
              <w:bottom w:w="0" w:type="dxa"/>
              <w:right w:w="62" w:type="dxa"/>
            </w:tcMar>
          </w:tcPr>
          <w:p w:rsidR="00000000" w:rsidP="00B93E1B">
            <w:pPr>
              <w:pStyle w:val="BodyText"/>
              <w:rPr>
                <w:lang w:val="en-NZ"/>
              </w:rPr>
            </w:pPr>
            <w:r w:rsidRPr="00B93E1B">
              <w:t>Check availability of physical resources and schedule delivery as needed.</w:t>
            </w:r>
          </w:p>
        </w:tc>
      </w:tr>
      <w:tr w:rsidTr="00B93E1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93E1B">
            <w:pPr>
              <w:pStyle w:val="BodyText"/>
              <w:rPr>
                <w:lang w:val="en-NZ"/>
              </w:rPr>
            </w:pPr>
            <w:r w:rsidRPr="00B93E1B">
              <w:t>4.3</w:t>
            </w:r>
          </w:p>
        </w:tc>
        <w:tc>
          <w:tcPr>
            <w:tcW w:w="5659" w:type="dxa"/>
            <w:tcBorders>
              <w:top w:val="nil"/>
              <w:left w:val="nil"/>
              <w:bottom w:val="nil"/>
              <w:right w:val="nil"/>
            </w:tcBorders>
            <w:tcMar>
              <w:top w:w="0" w:type="dxa"/>
              <w:left w:w="62" w:type="dxa"/>
              <w:bottom w:w="0" w:type="dxa"/>
              <w:right w:w="62" w:type="dxa"/>
            </w:tcMar>
          </w:tcPr>
          <w:p w:rsidR="00000000" w:rsidP="00B93E1B">
            <w:pPr>
              <w:pStyle w:val="BodyText"/>
              <w:rPr>
                <w:lang w:val="en-NZ"/>
              </w:rPr>
            </w:pPr>
            <w:r w:rsidRPr="00B93E1B">
              <w:t>Receive, secure and protect materials and plant and equipment.</w:t>
            </w:r>
          </w:p>
        </w:tc>
      </w:tr>
      <w:tr w:rsidTr="00B93E1B">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B93E1B">
            <w:pPr>
              <w:pStyle w:val="BodyText"/>
              <w:rPr>
                <w:lang w:val="en-NZ"/>
              </w:rPr>
            </w:pPr>
          </w:p>
        </w:tc>
      </w:tr>
      <w:tr w:rsidTr="00B93E1B">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B93E1B">
            <w:pPr>
              <w:pStyle w:val="BodyText"/>
              <w:rPr>
                <w:lang w:val="en-NZ"/>
              </w:rPr>
            </w:pPr>
            <w:r w:rsidRPr="00B93E1B">
              <w:t>5</w:t>
            </w:r>
          </w:p>
        </w:tc>
        <w:tc>
          <w:tcPr>
            <w:tcW w:w="2357" w:type="dxa"/>
            <w:vMerge w:val="restart"/>
            <w:tcBorders>
              <w:top w:val="nil"/>
              <w:left w:val="nil"/>
              <w:bottom w:val="nil"/>
              <w:right w:val="nil"/>
            </w:tcBorders>
            <w:tcMar>
              <w:top w:w="0" w:type="dxa"/>
              <w:left w:w="62" w:type="dxa"/>
              <w:bottom w:w="0" w:type="dxa"/>
              <w:right w:w="62" w:type="dxa"/>
            </w:tcMar>
          </w:tcPr>
          <w:p w:rsidR="00000000" w:rsidP="00B93E1B">
            <w:pPr>
              <w:pStyle w:val="BodyText"/>
              <w:rPr>
                <w:lang w:val="en-NZ"/>
              </w:rPr>
            </w:pPr>
            <w:r w:rsidRPr="00B93E1B">
              <w:t>Organise on- site human resources.</w:t>
            </w:r>
          </w:p>
        </w:tc>
        <w:tc>
          <w:tcPr>
            <w:tcW w:w="804" w:type="dxa"/>
            <w:tcBorders>
              <w:top w:val="nil"/>
              <w:left w:val="nil"/>
              <w:bottom w:val="nil"/>
              <w:right w:val="nil"/>
            </w:tcBorders>
            <w:tcMar>
              <w:top w:w="0" w:type="dxa"/>
              <w:left w:w="62" w:type="dxa"/>
              <w:bottom w:w="0" w:type="dxa"/>
              <w:right w:w="62" w:type="dxa"/>
            </w:tcMar>
          </w:tcPr>
          <w:p w:rsidR="00000000" w:rsidP="00B93E1B">
            <w:pPr>
              <w:pStyle w:val="BodyText"/>
              <w:rPr>
                <w:lang w:val="en-NZ"/>
              </w:rPr>
            </w:pPr>
            <w:r w:rsidRPr="00B93E1B">
              <w:t>5.1</w:t>
            </w:r>
          </w:p>
        </w:tc>
        <w:tc>
          <w:tcPr>
            <w:tcW w:w="5659" w:type="dxa"/>
            <w:tcBorders>
              <w:top w:val="nil"/>
              <w:left w:val="nil"/>
              <w:bottom w:val="nil"/>
              <w:right w:val="nil"/>
            </w:tcBorders>
            <w:tcMar>
              <w:top w:w="0" w:type="dxa"/>
              <w:left w:w="62" w:type="dxa"/>
              <w:bottom w:w="0" w:type="dxa"/>
              <w:right w:w="62" w:type="dxa"/>
            </w:tcMar>
          </w:tcPr>
          <w:p w:rsidR="00000000" w:rsidP="00B93E1B">
            <w:pPr>
              <w:pStyle w:val="BodyText"/>
              <w:rPr>
                <w:lang w:val="en-NZ"/>
              </w:rPr>
            </w:pPr>
            <w:r w:rsidRPr="00B93E1B">
              <w:t xml:space="preserve">Address industrial relations and on-site safety matters that could impact on the preparation and human resourcing for building work. </w:t>
            </w:r>
          </w:p>
        </w:tc>
      </w:tr>
      <w:tr w:rsidTr="00B93E1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93E1B">
            <w:pPr>
              <w:pStyle w:val="BodyText"/>
              <w:rPr>
                <w:lang w:val="en-NZ"/>
              </w:rPr>
            </w:pPr>
            <w:r w:rsidRPr="00B93E1B">
              <w:t>5.2</w:t>
            </w:r>
          </w:p>
        </w:tc>
        <w:tc>
          <w:tcPr>
            <w:tcW w:w="5659" w:type="dxa"/>
            <w:tcBorders>
              <w:top w:val="nil"/>
              <w:left w:val="nil"/>
              <w:bottom w:val="nil"/>
              <w:right w:val="nil"/>
            </w:tcBorders>
            <w:tcMar>
              <w:top w:w="0" w:type="dxa"/>
              <w:left w:w="62" w:type="dxa"/>
              <w:bottom w:w="0" w:type="dxa"/>
              <w:right w:w="62" w:type="dxa"/>
            </w:tcMar>
          </w:tcPr>
          <w:p w:rsidR="00000000" w:rsidP="00B93E1B">
            <w:pPr>
              <w:pStyle w:val="BodyText"/>
              <w:rPr>
                <w:lang w:val="en-NZ"/>
              </w:rPr>
            </w:pPr>
            <w:r w:rsidRPr="00B93E1B">
              <w:t xml:space="preserve">Identify and allocate on-site human resource requirements. </w:t>
            </w:r>
          </w:p>
        </w:tc>
      </w:tr>
      <w:tr w:rsidTr="00B93E1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93E1B">
            <w:pPr>
              <w:pStyle w:val="BodyText"/>
              <w:rPr>
                <w:lang w:val="en-NZ"/>
              </w:rPr>
            </w:pPr>
            <w:r w:rsidRPr="00B93E1B">
              <w:t>5.3</w:t>
            </w:r>
          </w:p>
        </w:tc>
        <w:tc>
          <w:tcPr>
            <w:tcW w:w="5659" w:type="dxa"/>
            <w:tcBorders>
              <w:top w:val="nil"/>
              <w:left w:val="nil"/>
              <w:bottom w:val="nil"/>
              <w:right w:val="nil"/>
            </w:tcBorders>
            <w:tcMar>
              <w:top w:w="0" w:type="dxa"/>
              <w:left w:w="62" w:type="dxa"/>
              <w:bottom w:w="0" w:type="dxa"/>
              <w:right w:w="62" w:type="dxa"/>
            </w:tcMar>
          </w:tcPr>
          <w:p w:rsidR="00000000" w:rsidP="00B93E1B">
            <w:pPr>
              <w:pStyle w:val="BodyText"/>
              <w:rPr>
                <w:lang w:val="en-NZ"/>
              </w:rPr>
            </w:pPr>
            <w:r w:rsidRPr="00B93E1B">
              <w:t>Engage or appoint construction work supervisor.</w:t>
            </w:r>
          </w:p>
        </w:tc>
      </w:tr>
      <w:tr w:rsidTr="00B93E1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93E1B">
            <w:pPr>
              <w:pStyle w:val="BodyText"/>
              <w:rPr>
                <w:lang w:val="en-NZ"/>
              </w:rPr>
            </w:pPr>
            <w:r w:rsidRPr="00B93E1B">
              <w:t>5.4</w:t>
            </w:r>
          </w:p>
        </w:tc>
        <w:tc>
          <w:tcPr>
            <w:tcW w:w="5659" w:type="dxa"/>
            <w:tcBorders>
              <w:top w:val="nil"/>
              <w:left w:val="nil"/>
              <w:bottom w:val="nil"/>
              <w:right w:val="nil"/>
            </w:tcBorders>
            <w:tcMar>
              <w:top w:w="0" w:type="dxa"/>
              <w:left w:w="62" w:type="dxa"/>
              <w:bottom w:w="0" w:type="dxa"/>
              <w:right w:w="62" w:type="dxa"/>
            </w:tcMar>
          </w:tcPr>
          <w:p w:rsidR="00000000" w:rsidRPr="00B93E1B" w:rsidP="00B93E1B">
            <w:pPr>
              <w:pStyle w:val="BodyText"/>
            </w:pPr>
            <w:r w:rsidRPr="00B93E1B">
              <w:t xml:space="preserve">Engage appropriate employees or contractors as stated for project needs. </w:t>
            </w:r>
          </w:p>
        </w:tc>
      </w:tr>
    </w:tbl>
    <w:p w:rsidR="00000000" w:rsidRPr="00B93E1B" w:rsidP="00B93E1B">
      <w:pPr>
        <w:pStyle w:val="BodyText"/>
      </w:pPr>
    </w:p>
    <w:p w:rsidR="00000000" w:rsidRPr="00B93E1B" w:rsidP="00B93E1B">
      <w:pPr>
        <w:pStyle w:val="AllowPageBreak"/>
      </w:pPr>
    </w:p>
    <w:p w:rsidR="00000000" w:rsidRPr="00B93E1B" w:rsidP="00B93E1B">
      <w:pPr>
        <w:pStyle w:val="Heading1"/>
      </w:pPr>
      <w:bookmarkStart w:id="6" w:name="O_1291931"/>
      <w:bookmarkEnd w:id="6"/>
      <w:r w:rsidRPr="00B93E1B">
        <w:t>Foundation Skills</w:t>
      </w:r>
    </w:p>
    <w:p w:rsidR="00000000" w:rsidRPr="00B93E1B" w:rsidP="00042964">
      <w:pPr>
        <w:pStyle w:val="BodyText"/>
      </w:pPr>
      <w:r w:rsidRPr="00B93E1B">
        <w:t xml:space="preserve">As well as the foundation skills explicit in the performance criteria of this unit, candidates require: </w:t>
      </w:r>
    </w:p>
    <w:p w:rsidR="00000000" w:rsidRPr="00B93E1B" w:rsidP="00B93E1B">
      <w:pPr>
        <w:pStyle w:val="ListBullet"/>
      </w:pPr>
      <w:r w:rsidRPr="00B93E1B">
        <w:t>technology skills to:</w:t>
      </w:r>
    </w:p>
    <w:p w:rsidR="00000000" w:rsidRPr="00B93E1B" w:rsidP="00B93E1B">
      <w:pPr>
        <w:pStyle w:val="ListBullet2"/>
      </w:pPr>
      <w:r w:rsidRPr="00B93E1B">
        <w:t>use digital tools and devices to communicate and collaborate effectively with others</w:t>
      </w:r>
    </w:p>
    <w:p w:rsidR="00000000" w:rsidRPr="00B93E1B" w:rsidP="00B93E1B">
      <w:pPr>
        <w:pStyle w:val="ListBullet2"/>
      </w:pPr>
      <w:r w:rsidRPr="00B93E1B">
        <w:t>use equipment and programs to access and extract information and develop relevant documentation.</w:t>
      </w:r>
    </w:p>
    <w:p w:rsidR="00000000" w:rsidRPr="00B93E1B" w:rsidP="00B93E1B">
      <w:pPr>
        <w:pStyle w:val="AllowPageBreak"/>
      </w:pPr>
    </w:p>
    <w:p w:rsidR="00000000" w:rsidRPr="00B93E1B" w:rsidP="00B93E1B">
      <w:pPr>
        <w:pStyle w:val="Heading1"/>
      </w:pPr>
      <w:bookmarkStart w:id="7" w:name="O_1291930"/>
      <w:bookmarkEnd w:id="7"/>
      <w:r w:rsidRPr="00B93E1B">
        <w:t>Unit Mapping Information</w:t>
      </w:r>
    </w:p>
    <w:p w:rsidR="00000000" w:rsidRPr="00B93E1B" w:rsidP="00042964">
      <w:pPr>
        <w:pStyle w:val="BodyText"/>
      </w:pPr>
      <w:r w:rsidRPr="00B93E1B">
        <w:t>Supersedes and is equivalent to CPCCBC4017A Arrange resources and prepare for the building or construction project.</w:t>
      </w:r>
    </w:p>
    <w:p w:rsidR="00000000" w:rsidRPr="00B93E1B" w:rsidP="00B93E1B">
      <w:pPr>
        <w:pStyle w:val="Heading1"/>
      </w:pPr>
      <w:bookmarkStart w:id="8" w:name="O_1291937"/>
      <w:bookmarkEnd w:id="8"/>
      <w:r w:rsidRPr="00B93E1B">
        <w:t>Links</w:t>
      </w:r>
    </w:p>
    <w:p w:rsidR="00000000" w:rsidRPr="00B93E1B" w:rsidP="00042964">
      <w:pPr>
        <w:pStyle w:val="BodyText"/>
      </w:pPr>
      <w:r w:rsidRPr="00B93E1B">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CC4306">
        <w:rPr>
          <w:rStyle w:val="Hyperlink"/>
        </w:rPr>
        <w:t>https://vetnet.gov.au/Pages/TrainingDocs.aspx?q=7e15fa6a-68b8-4097-b099-030a5569b1ad</w:t>
      </w:r>
      <w:r>
        <w:fldChar w:fldCharType="end"/>
      </w:r>
    </w:p>
    <w:p w:rsidR="00000000" w:rsidRPr="00B93E1B" w:rsidP="00B93E1B"/>
    <w:sectPr w:rsidSect="00B93E1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3E1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3E1B" w:rsidRPr="00042964" w:rsidP="0004296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3E1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2964" w:rsidP="00B93E1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42964" w:rsidP="00B93E1B">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BuildSkills Australia</w:t>
    </w:r>
    <w:r>
      <w:fldChar w:fldCharType="end"/>
    </w:r>
  </w:p>
  <w:p w:rsidR="00042964" w:rsidP="00B93E1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3E1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296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93E1B" w:rsidRPr="00042964" w:rsidP="0004296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3E1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2964" w:rsidRPr="002D2AF8" w:rsidP="00B93E1B">
    <w:pPr>
      <w:pStyle w:val="Header"/>
      <w:framePr w:wrap="around"/>
    </w:pPr>
    <w:r>
      <w:fldChar w:fldCharType="begin"/>
    </w:r>
    <w:r>
      <w:instrText xml:space="preserve"> TITLE   \* MERGEFORMAT </w:instrText>
    </w:r>
    <w:r>
      <w:fldChar w:fldCharType="separate"/>
    </w:r>
    <w:r>
      <w:t>CPCCBC4017 Arrange resources and prepare for the building and construction project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2024</w:t>
    </w:r>
    <w:r>
      <w:fldChar w:fldCharType="end"/>
    </w:r>
  </w:p>
  <w:p w:rsidR="00042964" w:rsidP="00B93E1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70A4DA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DB2C77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9B09E8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3E1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93E1B"/>
    <w:pPr>
      <w:spacing w:before="360" w:after="60"/>
      <w:outlineLvl w:val="0"/>
    </w:pPr>
    <w:rPr>
      <w:sz w:val="32"/>
    </w:rPr>
  </w:style>
  <w:style w:type="paragraph" w:styleId="Heading2">
    <w:name w:val="heading 2"/>
    <w:basedOn w:val="HeadingBase"/>
    <w:next w:val="BodyText"/>
    <w:link w:val="Heading2Char"/>
    <w:qFormat/>
    <w:rsid w:val="00B93E1B"/>
    <w:pPr>
      <w:keepLines/>
      <w:spacing w:before="240" w:after="120"/>
      <w:outlineLvl w:val="1"/>
    </w:pPr>
    <w:rPr>
      <w:sz w:val="28"/>
      <w:szCs w:val="40"/>
    </w:rPr>
  </w:style>
  <w:style w:type="paragraph" w:styleId="Heading3">
    <w:name w:val="heading 3"/>
    <w:basedOn w:val="HeadingBase"/>
    <w:next w:val="BodyText"/>
    <w:link w:val="Heading3Char"/>
    <w:qFormat/>
    <w:rsid w:val="00B93E1B"/>
    <w:pPr>
      <w:spacing w:before="180" w:after="120"/>
      <w:outlineLvl w:val="2"/>
    </w:pPr>
    <w:rPr>
      <w:spacing w:val="-10"/>
      <w:kern w:val="32"/>
    </w:rPr>
  </w:style>
  <w:style w:type="paragraph" w:styleId="Heading4">
    <w:name w:val="heading 4"/>
    <w:basedOn w:val="HeadingBase"/>
    <w:next w:val="BodyText"/>
    <w:link w:val="Heading4Char"/>
    <w:qFormat/>
    <w:rsid w:val="00B93E1B"/>
    <w:pPr>
      <w:spacing w:before="160" w:after="120"/>
      <w:outlineLvl w:val="3"/>
    </w:pPr>
    <w:rPr>
      <w:sz w:val="22"/>
    </w:rPr>
  </w:style>
  <w:style w:type="paragraph" w:styleId="Heading5">
    <w:name w:val="heading 5"/>
    <w:basedOn w:val="HeadingBase"/>
    <w:next w:val="Normal"/>
    <w:link w:val="Heading5Char"/>
    <w:qFormat/>
    <w:rsid w:val="00B93E1B"/>
    <w:pPr>
      <w:spacing w:before="80"/>
      <w:outlineLvl w:val="4"/>
    </w:pPr>
    <w:rPr>
      <w:color w:val="918585"/>
      <w:sz w:val="20"/>
    </w:rPr>
  </w:style>
  <w:style w:type="paragraph" w:styleId="Heading6">
    <w:name w:val="heading 6"/>
    <w:basedOn w:val="HeadingBase"/>
    <w:next w:val="Normal"/>
    <w:link w:val="Heading6Char"/>
    <w:qFormat/>
    <w:rsid w:val="00B93E1B"/>
    <w:pPr>
      <w:spacing w:before="60"/>
      <w:outlineLvl w:val="5"/>
    </w:pPr>
    <w:rPr>
      <w:color w:val="918585"/>
      <w:sz w:val="20"/>
    </w:rPr>
  </w:style>
  <w:style w:type="paragraph" w:styleId="Heading7">
    <w:name w:val="heading 7"/>
    <w:basedOn w:val="Normal"/>
    <w:next w:val="Normal"/>
    <w:link w:val="Heading7Char"/>
    <w:qFormat/>
    <w:rsid w:val="00B93E1B"/>
    <w:pPr>
      <w:ind w:left="720"/>
      <w:outlineLvl w:val="6"/>
    </w:pPr>
    <w:rPr>
      <w:i/>
    </w:rPr>
  </w:style>
  <w:style w:type="paragraph" w:styleId="Heading8">
    <w:name w:val="heading 8"/>
    <w:basedOn w:val="Normal"/>
    <w:next w:val="Normal"/>
    <w:link w:val="Heading8Char"/>
    <w:qFormat/>
    <w:rsid w:val="00B93E1B"/>
    <w:pPr>
      <w:ind w:left="720"/>
      <w:outlineLvl w:val="7"/>
    </w:pPr>
    <w:rPr>
      <w:i/>
    </w:rPr>
  </w:style>
  <w:style w:type="paragraph" w:styleId="Heading9">
    <w:name w:val="heading 9"/>
    <w:basedOn w:val="Normal"/>
    <w:next w:val="Normal"/>
    <w:link w:val="Heading9Char"/>
    <w:qFormat/>
    <w:rsid w:val="00B93E1B"/>
    <w:pPr>
      <w:ind w:left="720"/>
      <w:outlineLvl w:val="8"/>
    </w:pPr>
    <w:rPr>
      <w:i/>
    </w:rPr>
  </w:style>
  <w:style w:type="character" w:default="1" w:styleId="DefaultParagraphFont">
    <w:name w:val="Default Paragraph Font"/>
    <w:uiPriority w:val="1"/>
    <w:unhideWhenUsed/>
    <w:rsid w:val="00B93E1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93E1B"/>
  </w:style>
  <w:style w:type="character" w:customStyle="1" w:styleId="Heading1Char">
    <w:name w:val="Heading 1 Char"/>
    <w:basedOn w:val="DefaultParagraphFont"/>
    <w:link w:val="Heading1"/>
    <w:rsid w:val="00B93E1B"/>
    <w:rPr>
      <w:rFonts w:ascii="Times New Roman" w:eastAsia="Times New Roman" w:hAnsi="Times New Roman" w:cs="Times New Roman"/>
      <w:b/>
      <w:sz w:val="32"/>
      <w:szCs w:val="20"/>
      <w:lang w:eastAsia="en-US"/>
    </w:rPr>
  </w:style>
  <w:style w:type="paragraph" w:styleId="BodyText">
    <w:name w:val="Body Text"/>
    <w:basedOn w:val="Normal"/>
    <w:link w:val="BodyTextChar"/>
    <w:rsid w:val="00B93E1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93E1B"/>
    <w:rPr>
      <w:rFonts w:ascii="Times New Roman" w:eastAsia="Times New Roman" w:hAnsi="Times New Roman" w:cs="Times New Roman"/>
      <w:sz w:val="24"/>
      <w:lang w:eastAsia="en-US"/>
    </w:rPr>
  </w:style>
  <w:style w:type="paragraph" w:styleId="ListBullet">
    <w:name w:val="List Bullet"/>
    <w:basedOn w:val="List"/>
    <w:rsid w:val="00B93E1B"/>
    <w:pPr>
      <w:numPr>
        <w:numId w:val="12"/>
      </w:numPr>
      <w:tabs>
        <w:tab w:val="clear" w:pos="340"/>
      </w:tabs>
      <w:spacing w:before="40" w:after="40"/>
    </w:pPr>
  </w:style>
  <w:style w:type="paragraph" w:styleId="ListBullet2">
    <w:name w:val="List Bullet 2"/>
    <w:basedOn w:val="List2"/>
    <w:rsid w:val="00B93E1B"/>
    <w:pPr>
      <w:numPr>
        <w:numId w:val="13"/>
      </w:numPr>
      <w:tabs>
        <w:tab w:val="clear" w:pos="680"/>
      </w:tabs>
    </w:pPr>
  </w:style>
  <w:style w:type="character" w:styleId="Emphasis">
    <w:name w:val="Emphasis"/>
    <w:basedOn w:val="DefaultParagraphFont"/>
    <w:qFormat/>
    <w:rsid w:val="00B93E1B"/>
    <w:rPr>
      <w:i/>
    </w:rPr>
  </w:style>
  <w:style w:type="paragraph" w:customStyle="1" w:styleId="SuperHeading">
    <w:name w:val="SuperHeading"/>
    <w:basedOn w:val="Normal"/>
    <w:rsid w:val="00B93E1B"/>
    <w:pPr>
      <w:spacing w:before="240" w:after="120"/>
      <w:outlineLvl w:val="0"/>
    </w:pPr>
    <w:rPr>
      <w:rFonts w:ascii="Times New Roman" w:hAnsi="Times New Roman"/>
      <w:b/>
      <w:sz w:val="32"/>
    </w:rPr>
  </w:style>
  <w:style w:type="paragraph" w:customStyle="1" w:styleId="AllowPageBreak">
    <w:name w:val="AllowPageBreak"/>
    <w:rsid w:val="00B93E1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93E1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93E1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93E1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93E1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93E1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93E1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93E1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93E1B"/>
    <w:rPr>
      <w:rFonts w:ascii="Courier New" w:eastAsia="Times New Roman" w:hAnsi="Courier New" w:cs="Times New Roman"/>
      <w:i/>
      <w:szCs w:val="20"/>
      <w:lang w:eastAsia="en-US"/>
    </w:rPr>
  </w:style>
  <w:style w:type="paragraph" w:customStyle="1" w:styleId="HeadingBase">
    <w:name w:val="Heading Base"/>
    <w:rsid w:val="00B93E1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93E1B"/>
    <w:pPr>
      <w:tabs>
        <w:tab w:val="right" w:leader="dot" w:pos="9072"/>
      </w:tabs>
      <w:ind w:left="567"/>
    </w:pPr>
    <w:rPr>
      <w:szCs w:val="22"/>
    </w:rPr>
  </w:style>
  <w:style w:type="paragraph" w:customStyle="1" w:styleId="TOCBase">
    <w:name w:val="TOC Base"/>
    <w:rsid w:val="00B93E1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93E1B"/>
    <w:pPr>
      <w:tabs>
        <w:tab w:val="right" w:leader="dot" w:pos="9072"/>
      </w:tabs>
      <w:spacing w:before="40" w:after="40"/>
      <w:ind w:left="284"/>
    </w:pPr>
    <w:rPr>
      <w:rFonts w:ascii="Times New Roman" w:hAnsi="Times New Roman"/>
    </w:rPr>
  </w:style>
  <w:style w:type="paragraph" w:styleId="TOC1">
    <w:name w:val="toc 1"/>
    <w:basedOn w:val="TOCBase"/>
    <w:next w:val="Normal"/>
    <w:rsid w:val="00B93E1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93E1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93E1B"/>
    <w:rPr>
      <w:rFonts w:ascii="Times New Roman" w:eastAsia="Times New Roman" w:hAnsi="Times New Roman" w:cs="Times New Roman"/>
      <w:sz w:val="16"/>
      <w:lang w:eastAsia="en-US"/>
    </w:rPr>
  </w:style>
  <w:style w:type="paragraph" w:styleId="Title">
    <w:name w:val="Title"/>
    <w:basedOn w:val="HeadingBase"/>
    <w:link w:val="TitleChar"/>
    <w:qFormat/>
    <w:rsid w:val="00B93E1B"/>
    <w:pPr>
      <w:spacing w:before="5040"/>
      <w:jc w:val="center"/>
    </w:pPr>
    <w:rPr>
      <w:sz w:val="48"/>
      <w:szCs w:val="72"/>
      <w:lang w:val="en-US"/>
    </w:rPr>
  </w:style>
  <w:style w:type="character" w:customStyle="1" w:styleId="TitleChar">
    <w:name w:val="Title Char"/>
    <w:basedOn w:val="DefaultParagraphFont"/>
    <w:link w:val="Title"/>
    <w:rsid w:val="00B93E1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93E1B"/>
    <w:pPr>
      <w:tabs>
        <w:tab w:val="left" w:pos="3600"/>
        <w:tab w:val="left" w:pos="3958"/>
      </w:tabs>
    </w:pPr>
  </w:style>
  <w:style w:type="paragraph" w:styleId="List">
    <w:name w:val="List"/>
    <w:basedOn w:val="BodyText"/>
    <w:next w:val="BodyText"/>
    <w:rsid w:val="00B93E1B"/>
    <w:pPr>
      <w:tabs>
        <w:tab w:val="left" w:pos="340"/>
      </w:tabs>
      <w:spacing w:before="60" w:after="60"/>
      <w:ind w:left="340" w:hanging="340"/>
    </w:pPr>
  </w:style>
  <w:style w:type="paragraph" w:customStyle="1" w:styleId="Note">
    <w:name w:val="Note"/>
    <w:basedOn w:val="BodyText"/>
    <w:rsid w:val="00B93E1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93E1B"/>
    <w:rPr>
      <w:b/>
      <w:spacing w:val="0"/>
    </w:rPr>
  </w:style>
  <w:style w:type="paragraph" w:customStyle="1" w:styleId="SuperTitle">
    <w:name w:val="SuperTitle"/>
    <w:basedOn w:val="Title"/>
    <w:rsid w:val="00B93E1B"/>
    <w:pPr>
      <w:framePr w:wrap="auto" w:hAnchor="text" w:y="6049"/>
    </w:pPr>
    <w:rPr>
      <w:color w:val="000000"/>
      <w:sz w:val="40"/>
    </w:rPr>
  </w:style>
  <w:style w:type="paragraph" w:customStyle="1" w:styleId="TOCTitle">
    <w:name w:val="TOCTitle"/>
    <w:basedOn w:val="Heading1"/>
    <w:rsid w:val="00B93E1B"/>
    <w:pPr>
      <w:spacing w:after="240"/>
      <w:jc w:val="center"/>
      <w:outlineLvl w:val="9"/>
    </w:pPr>
    <w:rPr>
      <w:caps/>
    </w:rPr>
  </w:style>
  <w:style w:type="paragraph" w:customStyle="1" w:styleId="Version">
    <w:name w:val="Version"/>
    <w:rsid w:val="00B93E1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93E1B"/>
    <w:pPr>
      <w:keepNext w:val="0"/>
      <w:tabs>
        <w:tab w:val="right" w:pos="4176"/>
      </w:tabs>
      <w:ind w:left="198" w:hanging="198"/>
    </w:pPr>
    <w:rPr>
      <w:rFonts w:ascii="Garamond" w:hAnsi="Garamond"/>
    </w:rPr>
  </w:style>
  <w:style w:type="paragraph" w:styleId="IndexHeading">
    <w:name w:val="index heading"/>
    <w:basedOn w:val="Normal"/>
    <w:next w:val="Index1"/>
    <w:semiHidden/>
    <w:rsid w:val="00B93E1B"/>
    <w:pPr>
      <w:spacing w:before="120" w:after="120"/>
    </w:pPr>
    <w:rPr>
      <w:rFonts w:ascii="Arial" w:hAnsi="Arial"/>
      <w:b/>
      <w:color w:val="918585"/>
      <w:sz w:val="24"/>
    </w:rPr>
  </w:style>
  <w:style w:type="paragraph" w:styleId="Header">
    <w:name w:val="header"/>
    <w:basedOn w:val="Normal"/>
    <w:link w:val="HeaderChar"/>
    <w:rsid w:val="00B93E1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93E1B"/>
    <w:rPr>
      <w:rFonts w:ascii="Times New Roman" w:eastAsia="Times New Roman" w:hAnsi="Times New Roman" w:cs="Times New Roman"/>
      <w:sz w:val="16"/>
      <w:szCs w:val="20"/>
      <w:lang w:val="en-GB" w:eastAsia="en-US"/>
    </w:rPr>
  </w:style>
  <w:style w:type="paragraph" w:customStyle="1" w:styleId="Chapter">
    <w:name w:val="Chapter"/>
    <w:basedOn w:val="Normal"/>
    <w:rsid w:val="00B93E1B"/>
    <w:pPr>
      <w:spacing w:before="240"/>
    </w:pPr>
    <w:rPr>
      <w:rFonts w:ascii="Times New Roman" w:hAnsi="Times New Roman"/>
      <w:smallCaps/>
      <w:spacing w:val="80"/>
      <w:sz w:val="28"/>
    </w:rPr>
  </w:style>
  <w:style w:type="paragraph" w:customStyle="1" w:styleId="InChapter">
    <w:name w:val="InChapter"/>
    <w:basedOn w:val="Heading3"/>
    <w:rsid w:val="00B93E1B"/>
    <w:pPr>
      <w:spacing w:after="240"/>
      <w:outlineLvl w:val="9"/>
    </w:pPr>
    <w:rPr>
      <w:noProof/>
    </w:rPr>
  </w:style>
  <w:style w:type="paragraph" w:styleId="Index2">
    <w:name w:val="index 2"/>
    <w:basedOn w:val="Normal"/>
    <w:next w:val="Normal"/>
    <w:semiHidden/>
    <w:rsid w:val="00B93E1B"/>
    <w:pPr>
      <w:tabs>
        <w:tab w:val="right" w:pos="4176"/>
      </w:tabs>
      <w:ind w:left="568" w:hanging="284"/>
    </w:pPr>
    <w:rPr>
      <w:rFonts w:ascii="Garamond" w:hAnsi="Garamond"/>
    </w:rPr>
  </w:style>
  <w:style w:type="paragraph" w:customStyle="1" w:styleId="Byline">
    <w:name w:val="Byline"/>
    <w:rsid w:val="00B93E1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93E1B"/>
    <w:pPr>
      <w:tabs>
        <w:tab w:val="clear" w:pos="3600"/>
        <w:tab w:val="clear" w:pos="3958"/>
      </w:tabs>
      <w:jc w:val="right"/>
    </w:pPr>
  </w:style>
  <w:style w:type="paragraph" w:styleId="Caption">
    <w:name w:val="caption"/>
    <w:basedOn w:val="BodyText"/>
    <w:next w:val="Normal"/>
    <w:qFormat/>
    <w:rsid w:val="00B93E1B"/>
    <w:pPr>
      <w:framePr w:w="2268" w:hSpace="181" w:vSpace="181" w:wrap="around" w:vAnchor="text" w:hAnchor="page" w:x="1135" w:y="285" w:anchorLock="1"/>
    </w:pPr>
    <w:rPr>
      <w:i/>
    </w:rPr>
  </w:style>
  <w:style w:type="paragraph" w:customStyle="1" w:styleId="MiniTOCTitle">
    <w:name w:val="MiniTOCTitle"/>
    <w:basedOn w:val="Heading4"/>
    <w:rsid w:val="00B93E1B"/>
    <w:pPr>
      <w:spacing w:before="240"/>
      <w:outlineLvl w:val="9"/>
    </w:pPr>
    <w:rPr>
      <w:noProof/>
      <w:sz w:val="24"/>
    </w:rPr>
  </w:style>
  <w:style w:type="paragraph" w:customStyle="1" w:styleId="MiniTOCItem">
    <w:name w:val="MiniTOCItem"/>
    <w:basedOn w:val="ListBullet"/>
    <w:rsid w:val="00B93E1B"/>
    <w:pPr>
      <w:numPr>
        <w:numId w:val="0"/>
      </w:numPr>
      <w:tabs>
        <w:tab w:val="right" w:leader="dot" w:pos="6521"/>
      </w:tabs>
      <w:spacing w:before="0" w:after="0"/>
    </w:pPr>
  </w:style>
  <w:style w:type="paragraph" w:customStyle="1" w:styleId="TOFTitle">
    <w:name w:val="TOFTitle"/>
    <w:basedOn w:val="TOCTitle"/>
    <w:rsid w:val="00B93E1B"/>
  </w:style>
  <w:style w:type="paragraph" w:styleId="TableofFigures">
    <w:name w:val="table of figures"/>
    <w:basedOn w:val="Normal"/>
    <w:next w:val="Normal"/>
    <w:semiHidden/>
    <w:rsid w:val="00B93E1B"/>
    <w:pPr>
      <w:tabs>
        <w:tab w:val="right" w:leader="dot" w:pos="9072"/>
      </w:tabs>
      <w:ind w:left="970" w:hanging="403"/>
    </w:pPr>
    <w:rPr>
      <w:rFonts w:ascii="Times New Roman" w:hAnsi="Times New Roman"/>
      <w:b/>
    </w:rPr>
  </w:style>
  <w:style w:type="paragraph" w:styleId="ListNumber">
    <w:name w:val="List Number"/>
    <w:basedOn w:val="List"/>
    <w:rsid w:val="00B93E1B"/>
    <w:pPr>
      <w:numPr>
        <w:numId w:val="15"/>
      </w:numPr>
      <w:tabs>
        <w:tab w:val="clear" w:pos="340"/>
      </w:tabs>
    </w:pPr>
  </w:style>
  <w:style w:type="character" w:customStyle="1" w:styleId="WingdingSymbols">
    <w:name w:val="Wingding Symbols"/>
    <w:rsid w:val="00B93E1B"/>
    <w:rPr>
      <w:rFonts w:ascii="Wingdings" w:hAnsi="Wingdings"/>
    </w:rPr>
  </w:style>
  <w:style w:type="paragraph" w:customStyle="1" w:styleId="TableHeading">
    <w:name w:val="Table Heading"/>
    <w:basedOn w:val="HeadingBase"/>
    <w:rsid w:val="00B93E1B"/>
    <w:pPr>
      <w:keepLines/>
      <w:pBdr>
        <w:bottom w:val="single" w:sz="6" w:space="1" w:color="918585"/>
      </w:pBdr>
      <w:spacing w:before="240"/>
    </w:pPr>
  </w:style>
  <w:style w:type="character" w:customStyle="1" w:styleId="HotSpot">
    <w:name w:val="HotSpot"/>
    <w:rsid w:val="00B93E1B"/>
    <w:rPr>
      <w:color w:val="0033CC"/>
      <w:u w:val="none"/>
    </w:rPr>
  </w:style>
  <w:style w:type="paragraph" w:customStyle="1" w:styleId="BodyTextRight">
    <w:name w:val="Body Text Right"/>
    <w:basedOn w:val="BodyText"/>
    <w:rsid w:val="00B93E1B"/>
    <w:pPr>
      <w:spacing w:before="0" w:after="0"/>
      <w:jc w:val="right"/>
    </w:pPr>
  </w:style>
  <w:style w:type="paragraph" w:styleId="Index3">
    <w:name w:val="index 3"/>
    <w:basedOn w:val="ListNumber2"/>
    <w:next w:val="Normal"/>
    <w:semiHidden/>
    <w:rsid w:val="00B93E1B"/>
    <w:pPr>
      <w:numPr>
        <w:numId w:val="0"/>
      </w:numPr>
      <w:tabs>
        <w:tab w:val="right" w:leader="dot" w:pos="4176"/>
      </w:tabs>
    </w:pPr>
  </w:style>
  <w:style w:type="paragraph" w:styleId="ListNumber2">
    <w:name w:val="List Number 2"/>
    <w:basedOn w:val="List2"/>
    <w:rsid w:val="00B93E1B"/>
    <w:pPr>
      <w:numPr>
        <w:numId w:val="10"/>
      </w:numPr>
      <w:tabs>
        <w:tab w:val="clear" w:pos="1060"/>
      </w:tabs>
    </w:pPr>
  </w:style>
  <w:style w:type="paragraph" w:customStyle="1" w:styleId="MarginNote">
    <w:name w:val="Margin Note"/>
    <w:basedOn w:val="BodyText"/>
    <w:rsid w:val="00B93E1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93E1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93E1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93E1B"/>
    <w:rPr>
      <w:sz w:val="32"/>
    </w:rPr>
  </w:style>
  <w:style w:type="paragraph" w:customStyle="1" w:styleId="HeadingProcedure">
    <w:name w:val="Heading Procedure"/>
    <w:basedOn w:val="HeadingBase"/>
    <w:next w:val="Normal"/>
    <w:rsid w:val="00B93E1B"/>
    <w:pPr>
      <w:tabs>
        <w:tab w:val="left" w:pos="0"/>
      </w:tabs>
      <w:spacing w:before="120" w:after="60"/>
    </w:pPr>
    <w:rPr>
      <w:i/>
      <w:color w:val="918585"/>
      <w:sz w:val="22"/>
    </w:rPr>
  </w:style>
  <w:style w:type="paragraph" w:customStyle="1" w:styleId="TableBodyText">
    <w:name w:val="Table Body Text"/>
    <w:basedOn w:val="BodyText"/>
    <w:rsid w:val="00B93E1B"/>
    <w:pPr>
      <w:spacing w:before="60" w:after="60"/>
    </w:pPr>
  </w:style>
  <w:style w:type="paragraph" w:styleId="ListContinue">
    <w:name w:val="List Continue"/>
    <w:basedOn w:val="List"/>
    <w:rsid w:val="00B93E1B"/>
    <w:pPr>
      <w:ind w:firstLine="0"/>
    </w:pPr>
  </w:style>
  <w:style w:type="paragraph" w:customStyle="1" w:styleId="ListNote">
    <w:name w:val="List Note"/>
    <w:basedOn w:val="List"/>
    <w:rsid w:val="00B93E1B"/>
    <w:pPr>
      <w:pBdr>
        <w:top w:val="single" w:sz="6" w:space="2" w:color="918585"/>
        <w:bottom w:val="single" w:sz="6" w:space="2" w:color="918585"/>
      </w:pBdr>
      <w:tabs>
        <w:tab w:val="left" w:pos="1021"/>
      </w:tabs>
      <w:ind w:firstLine="0"/>
    </w:pPr>
  </w:style>
  <w:style w:type="paragraph" w:customStyle="1" w:styleId="Warning">
    <w:name w:val="Warning"/>
    <w:basedOn w:val="BodyText"/>
    <w:rsid w:val="00B93E1B"/>
    <w:pPr>
      <w:shd w:val="clear" w:color="auto" w:fill="D9D9D9"/>
      <w:tabs>
        <w:tab w:val="left" w:pos="992"/>
      </w:tabs>
      <w:ind w:left="119" w:right="119"/>
    </w:pPr>
    <w:rPr>
      <w:sz w:val="20"/>
    </w:rPr>
  </w:style>
  <w:style w:type="paragraph" w:customStyle="1" w:styleId="MarginIcons">
    <w:name w:val="Margin Icons"/>
    <w:basedOn w:val="BodyText"/>
    <w:rsid w:val="00B93E1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93E1B"/>
    <w:rPr>
      <w:rFonts w:ascii="Courier New" w:hAnsi="Courier New"/>
    </w:rPr>
  </w:style>
  <w:style w:type="paragraph" w:customStyle="1" w:styleId="NoteBullet">
    <w:name w:val="Note Bullet"/>
    <w:basedOn w:val="Note"/>
    <w:rsid w:val="00B93E1B"/>
    <w:pPr>
      <w:tabs>
        <w:tab w:val="clear" w:pos="680"/>
      </w:tabs>
      <w:spacing w:before="60" w:after="60"/>
    </w:pPr>
  </w:style>
  <w:style w:type="paragraph" w:customStyle="1" w:styleId="SubHeading2">
    <w:name w:val="SubHeading2"/>
    <w:basedOn w:val="HeadingBase"/>
    <w:rsid w:val="00B93E1B"/>
    <w:pPr>
      <w:spacing w:before="240" w:after="60"/>
    </w:pPr>
    <w:rPr>
      <w:sz w:val="20"/>
    </w:rPr>
  </w:style>
  <w:style w:type="paragraph" w:customStyle="1" w:styleId="SubHeading1">
    <w:name w:val="SubHeading1"/>
    <w:basedOn w:val="HeadingBase"/>
    <w:rsid w:val="00B93E1B"/>
    <w:pPr>
      <w:spacing w:before="240" w:after="60"/>
    </w:pPr>
    <w:rPr>
      <w:color w:val="918585"/>
      <w:sz w:val="22"/>
    </w:rPr>
  </w:style>
  <w:style w:type="paragraph" w:customStyle="1" w:styleId="SideHeading">
    <w:name w:val="Side Heading"/>
    <w:basedOn w:val="HeadingBase"/>
    <w:rsid w:val="00B93E1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93E1B"/>
    <w:pPr>
      <w:tabs>
        <w:tab w:val="num" w:pos="360"/>
      </w:tabs>
    </w:pPr>
  </w:style>
  <w:style w:type="paragraph" w:styleId="PlainText">
    <w:name w:val="Plain Text"/>
    <w:basedOn w:val="Normal"/>
    <w:link w:val="PlainTextChar"/>
    <w:rsid w:val="00B93E1B"/>
    <w:rPr>
      <w:sz w:val="20"/>
    </w:rPr>
  </w:style>
  <w:style w:type="character" w:customStyle="1" w:styleId="PlainTextChar">
    <w:name w:val="Plain Text Char"/>
    <w:basedOn w:val="DefaultParagraphFont"/>
    <w:link w:val="PlainText"/>
    <w:rsid w:val="00B93E1B"/>
    <w:rPr>
      <w:rFonts w:ascii="Courier New" w:eastAsia="Times New Roman" w:hAnsi="Courier New" w:cs="Times New Roman"/>
      <w:sz w:val="20"/>
      <w:szCs w:val="20"/>
      <w:lang w:eastAsia="en-US"/>
    </w:rPr>
  </w:style>
  <w:style w:type="character" w:customStyle="1" w:styleId="MenuOption">
    <w:name w:val="Menu Option"/>
    <w:basedOn w:val="DefaultParagraphFont"/>
    <w:rsid w:val="00B93E1B"/>
    <w:rPr>
      <w:b/>
      <w:smallCaps/>
    </w:rPr>
  </w:style>
  <w:style w:type="paragraph" w:customStyle="1" w:styleId="TableListNumber">
    <w:name w:val="Table List Number"/>
    <w:basedOn w:val="ListNumber"/>
    <w:rsid w:val="00B93E1B"/>
    <w:pPr>
      <w:numPr>
        <w:numId w:val="0"/>
      </w:numPr>
    </w:pPr>
  </w:style>
  <w:style w:type="paragraph" w:styleId="TOC4">
    <w:name w:val="toc 4"/>
    <w:basedOn w:val="TOCBase"/>
    <w:next w:val="Normal"/>
    <w:semiHidden/>
    <w:rsid w:val="00B93E1B"/>
    <w:pPr>
      <w:tabs>
        <w:tab w:val="right" w:leader="dot" w:pos="9071"/>
      </w:tabs>
      <w:ind w:left="1701"/>
    </w:pPr>
  </w:style>
  <w:style w:type="paragraph" w:customStyle="1" w:styleId="ListAlpha">
    <w:name w:val="List Alpha"/>
    <w:basedOn w:val="List"/>
    <w:rsid w:val="00B93E1B"/>
    <w:pPr>
      <w:numPr>
        <w:numId w:val="9"/>
      </w:numPr>
    </w:pPr>
  </w:style>
  <w:style w:type="paragraph" w:customStyle="1" w:styleId="ListAlpha2">
    <w:name w:val="List Alpha 2"/>
    <w:basedOn w:val="List2"/>
    <w:rsid w:val="00B93E1B"/>
    <w:pPr>
      <w:numPr>
        <w:numId w:val="8"/>
      </w:numPr>
    </w:pPr>
  </w:style>
  <w:style w:type="paragraph" w:styleId="List2">
    <w:name w:val="List 2"/>
    <w:basedOn w:val="BodyText"/>
    <w:rsid w:val="00B93E1B"/>
    <w:pPr>
      <w:tabs>
        <w:tab w:val="left" w:pos="680"/>
      </w:tabs>
      <w:spacing w:before="60" w:after="60"/>
      <w:ind w:left="680" w:hanging="340"/>
    </w:pPr>
  </w:style>
  <w:style w:type="paragraph" w:styleId="List3">
    <w:name w:val="List 3"/>
    <w:basedOn w:val="BodyText"/>
    <w:rsid w:val="00B93E1B"/>
    <w:pPr>
      <w:tabs>
        <w:tab w:val="left" w:pos="1021"/>
      </w:tabs>
      <w:spacing w:before="60" w:after="60"/>
      <w:ind w:left="1020" w:hanging="340"/>
    </w:pPr>
  </w:style>
  <w:style w:type="paragraph" w:styleId="List4">
    <w:name w:val="List 4"/>
    <w:basedOn w:val="BodyText"/>
    <w:rsid w:val="00B93E1B"/>
    <w:pPr>
      <w:tabs>
        <w:tab w:val="left" w:pos="1361"/>
      </w:tabs>
      <w:spacing w:before="60" w:after="60"/>
      <w:ind w:left="1361" w:hanging="340"/>
    </w:pPr>
  </w:style>
  <w:style w:type="paragraph" w:styleId="List5">
    <w:name w:val="List 5"/>
    <w:basedOn w:val="BodyText"/>
    <w:rsid w:val="00B93E1B"/>
    <w:pPr>
      <w:tabs>
        <w:tab w:val="left" w:pos="1701"/>
      </w:tabs>
      <w:spacing w:before="60" w:after="60"/>
      <w:ind w:left="1701" w:hanging="340"/>
    </w:pPr>
  </w:style>
  <w:style w:type="paragraph" w:styleId="ListBullet3">
    <w:name w:val="List Bullet 3"/>
    <w:basedOn w:val="List3"/>
    <w:rsid w:val="00B93E1B"/>
    <w:pPr>
      <w:numPr>
        <w:numId w:val="14"/>
      </w:numPr>
      <w:tabs>
        <w:tab w:val="clear" w:pos="1021"/>
      </w:tabs>
      <w:ind w:left="1037" w:hanging="357"/>
    </w:pPr>
  </w:style>
  <w:style w:type="paragraph" w:styleId="ListBullet4">
    <w:name w:val="List Bullet 4"/>
    <w:basedOn w:val="List4"/>
    <w:rsid w:val="00B93E1B"/>
    <w:pPr>
      <w:numPr>
        <w:numId w:val="3"/>
      </w:numPr>
      <w:tabs>
        <w:tab w:val="clear" w:pos="1361"/>
      </w:tabs>
    </w:pPr>
  </w:style>
  <w:style w:type="paragraph" w:styleId="ListBullet5">
    <w:name w:val="List Bullet 5"/>
    <w:basedOn w:val="List5"/>
    <w:rsid w:val="00B93E1B"/>
    <w:pPr>
      <w:numPr>
        <w:numId w:val="4"/>
      </w:numPr>
    </w:pPr>
  </w:style>
  <w:style w:type="paragraph" w:styleId="ListContinue2">
    <w:name w:val="List Continue 2"/>
    <w:basedOn w:val="List2"/>
    <w:rsid w:val="00B93E1B"/>
    <w:pPr>
      <w:ind w:firstLine="0"/>
    </w:pPr>
  </w:style>
  <w:style w:type="paragraph" w:styleId="ListContinue3">
    <w:name w:val="List Continue 3"/>
    <w:basedOn w:val="List3"/>
    <w:rsid w:val="00B93E1B"/>
    <w:pPr>
      <w:ind w:left="1021" w:firstLine="0"/>
    </w:pPr>
  </w:style>
  <w:style w:type="paragraph" w:styleId="ListContinue4">
    <w:name w:val="List Continue 4"/>
    <w:basedOn w:val="List4"/>
    <w:rsid w:val="00B93E1B"/>
    <w:pPr>
      <w:ind w:firstLine="0"/>
    </w:pPr>
  </w:style>
  <w:style w:type="paragraph" w:styleId="ListContinue5">
    <w:name w:val="List Continue 5"/>
    <w:basedOn w:val="List5"/>
    <w:rsid w:val="00B93E1B"/>
    <w:pPr>
      <w:ind w:firstLine="0"/>
    </w:pPr>
  </w:style>
  <w:style w:type="paragraph" w:styleId="ListNumber3">
    <w:name w:val="List Number 3"/>
    <w:basedOn w:val="List3"/>
    <w:rsid w:val="00B93E1B"/>
    <w:pPr>
      <w:numPr>
        <w:numId w:val="5"/>
      </w:numPr>
    </w:pPr>
  </w:style>
  <w:style w:type="paragraph" w:styleId="ListNumber4">
    <w:name w:val="List Number 4"/>
    <w:basedOn w:val="List4"/>
    <w:rsid w:val="00B93E1B"/>
    <w:pPr>
      <w:numPr>
        <w:numId w:val="6"/>
      </w:numPr>
    </w:pPr>
  </w:style>
  <w:style w:type="paragraph" w:styleId="ListNumber5">
    <w:name w:val="List Number 5"/>
    <w:basedOn w:val="List5"/>
    <w:rsid w:val="00B93E1B"/>
    <w:pPr>
      <w:numPr>
        <w:numId w:val="7"/>
      </w:numPr>
    </w:pPr>
  </w:style>
  <w:style w:type="paragraph" w:styleId="BlockText">
    <w:name w:val="Block Text"/>
    <w:basedOn w:val="Normal"/>
    <w:rsid w:val="00B93E1B"/>
    <w:pPr>
      <w:spacing w:after="120"/>
      <w:ind w:left="1440" w:right="1440"/>
    </w:pPr>
  </w:style>
  <w:style w:type="character" w:customStyle="1" w:styleId="Subscript">
    <w:name w:val="Subscript"/>
    <w:basedOn w:val="DefaultParagraphFont"/>
    <w:rsid w:val="00B93E1B"/>
    <w:rPr>
      <w:sz w:val="16"/>
      <w:vertAlign w:val="subscript"/>
    </w:rPr>
  </w:style>
  <w:style w:type="character" w:customStyle="1" w:styleId="Superscript">
    <w:name w:val="Superscript"/>
    <w:basedOn w:val="DefaultParagraphFont"/>
    <w:rsid w:val="00B93E1B"/>
    <w:rPr>
      <w:sz w:val="16"/>
      <w:vertAlign w:val="superscript"/>
    </w:rPr>
  </w:style>
  <w:style w:type="character" w:customStyle="1" w:styleId="Symbols">
    <w:name w:val="Symbols"/>
    <w:basedOn w:val="DefaultParagraphFont"/>
    <w:rsid w:val="00B93E1B"/>
    <w:rPr>
      <w:rFonts w:ascii="Symbol" w:hAnsi="Symbol"/>
    </w:rPr>
  </w:style>
  <w:style w:type="character" w:customStyle="1" w:styleId="MenuOptions">
    <w:name w:val="Menu Options"/>
    <w:basedOn w:val="DefaultParagraphFont"/>
    <w:rsid w:val="00B93E1B"/>
    <w:rPr>
      <w:rFonts w:ascii="Arial Narrow" w:hAnsi="Arial Narrow"/>
      <w:smallCaps/>
    </w:rPr>
  </w:style>
  <w:style w:type="character" w:customStyle="1" w:styleId="Buttons">
    <w:name w:val="Buttons"/>
    <w:basedOn w:val="DefaultParagraphFont"/>
    <w:rsid w:val="00B93E1B"/>
    <w:rPr>
      <w:b/>
    </w:rPr>
  </w:style>
  <w:style w:type="character" w:customStyle="1" w:styleId="Underlined">
    <w:name w:val="Underlined"/>
    <w:basedOn w:val="DefaultParagraphFont"/>
    <w:rsid w:val="00B93E1B"/>
    <w:rPr>
      <w:u w:val="single"/>
    </w:rPr>
  </w:style>
  <w:style w:type="paragraph" w:customStyle="1" w:styleId="TableBodyTextRight">
    <w:name w:val="Table Body Text Right"/>
    <w:basedOn w:val="TableBodyText"/>
    <w:rsid w:val="00B93E1B"/>
    <w:pPr>
      <w:widowControl w:val="0"/>
      <w:autoSpaceDE w:val="0"/>
      <w:autoSpaceDN w:val="0"/>
      <w:adjustRightInd w:val="0"/>
      <w:jc w:val="right"/>
    </w:pPr>
    <w:rPr>
      <w:rFonts w:cs="Arial"/>
      <w:szCs w:val="18"/>
    </w:rPr>
  </w:style>
  <w:style w:type="paragraph" w:customStyle="1" w:styleId="CopyrightText">
    <w:name w:val="Copyright Text"/>
    <w:basedOn w:val="BodyText"/>
    <w:rsid w:val="00B93E1B"/>
    <w:rPr>
      <w:sz w:val="18"/>
    </w:rPr>
  </w:style>
  <w:style w:type="paragraph" w:customStyle="1" w:styleId="BodySmallRight">
    <w:name w:val="Body Small Right"/>
    <w:basedOn w:val="BodyTextRight"/>
    <w:rsid w:val="00B93E1B"/>
    <w:rPr>
      <w:sz w:val="18"/>
      <w:szCs w:val="18"/>
    </w:rPr>
  </w:style>
  <w:style w:type="paragraph" w:customStyle="1" w:styleId="MarginEdition">
    <w:name w:val="Margin Edition"/>
    <w:basedOn w:val="MarginNote"/>
    <w:rsid w:val="00B93E1B"/>
    <w:pPr>
      <w:spacing w:before="0" w:after="0"/>
    </w:pPr>
    <w:rPr>
      <w:rFonts w:ascii="Times New Roman" w:hAnsi="Times New Roman"/>
      <w:color w:val="999999"/>
    </w:rPr>
  </w:style>
  <w:style w:type="paragraph" w:customStyle="1" w:styleId="Spacer">
    <w:name w:val="Spacer"/>
    <w:basedOn w:val="Normal"/>
    <w:rsid w:val="00B93E1B"/>
    <w:rPr>
      <w:sz w:val="2"/>
      <w:szCs w:val="2"/>
    </w:rPr>
  </w:style>
  <w:style w:type="character" w:customStyle="1" w:styleId="Small">
    <w:name w:val="Small"/>
    <w:basedOn w:val="DefaultParagraphFont"/>
    <w:rsid w:val="00B93E1B"/>
    <w:rPr>
      <w:sz w:val="16"/>
    </w:rPr>
  </w:style>
  <w:style w:type="paragraph" w:customStyle="1" w:styleId="WideTable">
    <w:name w:val="Wide Table"/>
    <w:basedOn w:val="Normal"/>
    <w:rsid w:val="00B93E1B"/>
    <w:pPr>
      <w:ind w:left="-1418"/>
    </w:pPr>
    <w:rPr>
      <w:sz w:val="2"/>
      <w:szCs w:val="2"/>
    </w:rPr>
  </w:style>
  <w:style w:type="character" w:styleId="PageNumber">
    <w:name w:val="page number"/>
    <w:basedOn w:val="DefaultParagraphFont"/>
    <w:rsid w:val="00B93E1B"/>
  </w:style>
  <w:style w:type="paragraph" w:styleId="Quote">
    <w:name w:val="Quote"/>
    <w:basedOn w:val="Heading1"/>
    <w:link w:val="QuoteChar"/>
    <w:qFormat/>
    <w:rsid w:val="00B93E1B"/>
    <w:rPr>
      <w:b w:val="0"/>
      <w:sz w:val="72"/>
      <w:szCs w:val="72"/>
      <w:lang w:val="en-NZ"/>
    </w:rPr>
  </w:style>
  <w:style w:type="character" w:customStyle="1" w:styleId="QuoteChar">
    <w:name w:val="Quote Char"/>
    <w:basedOn w:val="DefaultParagraphFont"/>
    <w:link w:val="Quote"/>
    <w:rsid w:val="00B93E1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93E1B"/>
    <w:pPr>
      <w:pageBreakBefore/>
    </w:pPr>
  </w:style>
  <w:style w:type="paragraph" w:customStyle="1" w:styleId="Border">
    <w:name w:val="Border"/>
    <w:basedOn w:val="Normal"/>
    <w:qFormat/>
    <w:rsid w:val="00B93E1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93E1B"/>
    <w:rPr>
      <w:b/>
      <w:bCs/>
      <w:i/>
      <w:iCs/>
      <w:color w:val="auto"/>
    </w:rPr>
  </w:style>
  <w:style w:type="paragraph" w:styleId="IntenseQuote">
    <w:name w:val="Intense Quote"/>
    <w:basedOn w:val="Normal"/>
    <w:next w:val="Normal"/>
    <w:link w:val="IntenseQuoteChar"/>
    <w:uiPriority w:val="30"/>
    <w:qFormat/>
    <w:rsid w:val="00B93E1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93E1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93E1B"/>
    <w:rPr>
      <w:smallCaps/>
      <w:color w:val="auto"/>
      <w:u w:val="single"/>
    </w:rPr>
  </w:style>
  <w:style w:type="character" w:styleId="IntenseReference">
    <w:name w:val="Intense Reference"/>
    <w:basedOn w:val="DefaultParagraphFont"/>
    <w:uiPriority w:val="32"/>
    <w:qFormat/>
    <w:rsid w:val="00B93E1B"/>
    <w:rPr>
      <w:b/>
      <w:bCs/>
      <w:smallCaps/>
      <w:color w:val="auto"/>
      <w:spacing w:val="5"/>
      <w:u w:val="single"/>
    </w:rPr>
  </w:style>
  <w:style w:type="paragraph" w:customStyle="1" w:styleId="2ColumnHeading">
    <w:name w:val="2Column Heading"/>
    <w:basedOn w:val="BodyText"/>
    <w:qFormat/>
    <w:rsid w:val="00B93E1B"/>
    <w:pPr>
      <w:spacing w:after="60"/>
      <w:ind w:left="-2268"/>
    </w:pPr>
    <w:rPr>
      <w:b/>
    </w:rPr>
  </w:style>
  <w:style w:type="paragraph" w:customStyle="1" w:styleId="Heading1TOC">
    <w:name w:val="Heading1 TOC"/>
    <w:basedOn w:val="Normal"/>
    <w:qFormat/>
    <w:rsid w:val="00B93E1B"/>
    <w:pPr>
      <w:spacing w:before="240" w:after="120"/>
    </w:pPr>
    <w:rPr>
      <w:rFonts w:ascii="Times New Roman" w:hAnsi="Times New Roman"/>
      <w:b/>
      <w:sz w:val="32"/>
    </w:rPr>
  </w:style>
  <w:style w:type="paragraph" w:customStyle="1" w:styleId="Heading2TOC">
    <w:name w:val="Heading2 TOC"/>
    <w:basedOn w:val="Normal"/>
    <w:qFormat/>
    <w:rsid w:val="00B93E1B"/>
    <w:pPr>
      <w:spacing w:before="240" w:after="60"/>
    </w:pPr>
    <w:rPr>
      <w:rFonts w:ascii="Times New Roman" w:hAnsi="Times New Roman"/>
      <w:b/>
      <w:sz w:val="28"/>
    </w:rPr>
  </w:style>
  <w:style w:type="character" w:customStyle="1" w:styleId="Underline">
    <w:name w:val="Underline"/>
    <w:basedOn w:val="DefaultParagraphFont"/>
    <w:qFormat/>
    <w:rsid w:val="00B93E1B"/>
    <w:rPr>
      <w:u w:val="single"/>
    </w:rPr>
  </w:style>
  <w:style w:type="character" w:customStyle="1" w:styleId="BoldandItalics">
    <w:name w:val="Bold and Italics"/>
    <w:qFormat/>
    <w:rsid w:val="00B93E1B"/>
    <w:rPr>
      <w:b/>
      <w:i/>
      <w:u w:val="none"/>
    </w:rPr>
  </w:style>
  <w:style w:type="paragraph" w:styleId="BalloonText">
    <w:name w:val="Balloon Text"/>
    <w:basedOn w:val="Normal"/>
    <w:link w:val="BalloonTextChar"/>
    <w:rsid w:val="00B93E1B"/>
    <w:rPr>
      <w:rFonts w:ascii="Tahoma" w:hAnsi="Tahoma" w:cs="Tahoma"/>
      <w:sz w:val="16"/>
      <w:szCs w:val="16"/>
    </w:rPr>
  </w:style>
  <w:style w:type="character" w:customStyle="1" w:styleId="BalloonTextChar">
    <w:name w:val="Balloon Text Char"/>
    <w:basedOn w:val="DefaultParagraphFont"/>
    <w:link w:val="BalloonText"/>
    <w:rsid w:val="00B93E1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93E1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93E1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93E1B"/>
    <w:rPr>
      <w:b/>
      <w:color w:val="660033"/>
      <w:spacing w:val="0"/>
    </w:rPr>
  </w:style>
  <w:style w:type="paragraph" w:customStyle="1" w:styleId="Nameditemlist">
    <w:name w:val="Named item list"/>
    <w:basedOn w:val="BodyText"/>
    <w:qFormat/>
    <w:rsid w:val="00B93E1B"/>
    <w:pPr>
      <w:tabs>
        <w:tab w:val="left" w:pos="2835"/>
      </w:tabs>
      <w:ind w:left="2835" w:hanging="2835"/>
    </w:pPr>
  </w:style>
  <w:style w:type="paragraph" w:customStyle="1" w:styleId="BodyTextnopadding">
    <w:name w:val="Body Text no padding"/>
    <w:basedOn w:val="BodyText"/>
    <w:qFormat/>
    <w:rsid w:val="00B93E1B"/>
    <w:pPr>
      <w:spacing w:before="0" w:after="0"/>
    </w:pPr>
  </w:style>
  <w:style w:type="paragraph" w:customStyle="1" w:styleId="BodyTextBold">
    <w:name w:val="Body Text Bold"/>
    <w:basedOn w:val="BodyText"/>
    <w:qFormat/>
    <w:rsid w:val="00B93E1B"/>
    <w:rPr>
      <w:b/>
    </w:rPr>
  </w:style>
  <w:style w:type="character" w:styleId="Hyperlink">
    <w:name w:val="Hyperlink"/>
    <w:basedOn w:val="DefaultParagraphFont"/>
    <w:uiPriority w:val="99"/>
    <w:unhideWhenUsed/>
    <w:rsid w:val="0004296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670</Words>
  <Characters>4193</Characters>
  <Application>Microsoft Office Word</Application>
  <DocSecurity>0</DocSecurity>
  <Lines>190</Lines>
  <Paragraphs>103</Paragraphs>
  <ScaleCrop>false</ScaleCrop>
  <Company>Author-it Software Corporation Ltd.</Company>
  <LinksUpToDate>false</LinksUpToDate>
  <CharactersWithSpaces>4760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CPCCBC4017 Arrange resources and prepare for the building and construction project</dc:title>
  <dc:subject>Approved</dc:subject>
  <dc:creator>BuildSkills Australia</dc:creator>
  <cp:keywords>Release: 2</cp:keywords>
  <dc:description>Review Date: 12 April 2008</dc:description>
  <cp:lastModifiedBy>HSD_TPCMSd.prod</cp:lastModifiedBy>
  <cp:revision>3</cp:revision>
  <dcterms:created xsi:type="dcterms:W3CDTF">2024-12-24T01:05:00Z</dcterms:created>
  <dcterms:modified xsi:type="dcterms:W3CDTF">2024-12-24T01:05:00Z</dcterms:modified>
</cp:coreProperties>
</file>