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FBA" w:rsidP="00157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CPCCBC4014 Prepare simple building sketches and drawings</w:t>
      </w:r>
      <w:r>
        <w:fldChar w:fldCharType="end"/>
      </w:r>
    </w:p>
    <w:p w:rsidR="00157FBA" w:rsidP="00157FBA">
      <w:pPr>
        <w:pStyle w:val="Version"/>
        <w:sectPr w:rsidSect="00A30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07B9" w:rsidP="00A307B9">
      <w:pPr>
        <w:pStyle w:val="SuperHeading"/>
      </w:pPr>
      <w:r w:rsidRPr="00A307B9">
        <w:t>CPCCBC4014 Prepare simple building sketches and drawings</w:t>
      </w:r>
    </w:p>
    <w:p w:rsidR="00000000" w:rsidRPr="00A307B9" w:rsidP="00A307B9">
      <w:pPr>
        <w:pStyle w:val="Heading1"/>
      </w:pPr>
      <w:bookmarkStart w:id="1" w:name="O_1291824"/>
      <w:bookmarkEnd w:id="1"/>
      <w:r w:rsidRPr="00A307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Updated reference to general construction induction training program.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7B9" w:rsidP="00A307B9">
            <w:pPr>
              <w:pStyle w:val="BodyText"/>
            </w:pPr>
            <w:r w:rsidRPr="00A307B9">
              <w:t>This version first released with CPC Construction, Plumbing and Services Training Package Release 5.0.</w:t>
            </w:r>
          </w:p>
          <w:p w:rsidR="00000000" w:rsidRPr="00A307B9" w:rsidP="00A307B9">
            <w:pPr>
              <w:pStyle w:val="BodyText"/>
            </w:pPr>
            <w:r w:rsidRPr="00A307B9">
              <w:t>Supersedes and is equiv</w:t>
            </w:r>
            <w:r w:rsidRPr="00A307B9">
              <w:t>alent to CPCCBC4014A Prepare simple building sketches and drawings.  Updated to meet the Standards for Training Packages 2012.</w:t>
            </w:r>
          </w:p>
        </w:tc>
      </w:tr>
    </w:tbl>
    <w:p w:rsidR="00000000" w:rsidRPr="00A307B9" w:rsidP="00A307B9">
      <w:pPr>
        <w:pStyle w:val="BodyText"/>
      </w:pPr>
    </w:p>
    <w:p w:rsidR="00000000" w:rsidRPr="00A307B9" w:rsidP="00A307B9">
      <w:pPr>
        <w:pStyle w:val="AllowPageBreak"/>
      </w:pPr>
    </w:p>
    <w:p w:rsidR="00000000" w:rsidRPr="00A307B9" w:rsidP="00A307B9">
      <w:pPr>
        <w:pStyle w:val="Heading1"/>
      </w:pPr>
      <w:bookmarkStart w:id="2" w:name="O_1291823"/>
      <w:bookmarkEnd w:id="2"/>
      <w:r w:rsidRPr="00A307B9">
        <w:t>Application</w:t>
      </w:r>
    </w:p>
    <w:p w:rsidR="00000000" w:rsidRPr="00A307B9" w:rsidP="00157FBA">
      <w:pPr>
        <w:pStyle w:val="BodyText"/>
      </w:pPr>
      <w:r w:rsidRPr="00A307B9">
        <w:t>This unit of competency specifies the skills and knowledge required to prepare sketches and draw</w:t>
      </w:r>
      <w:r w:rsidRPr="00A307B9">
        <w:t>ings used for communicating ideas to clients and other parties. It includes capturing design concepts and options taken from architectural drawings to create simpler versions.</w:t>
      </w:r>
    </w:p>
    <w:p w:rsidR="00000000" w:rsidRPr="00A307B9" w:rsidP="00157FBA">
      <w:pPr>
        <w:pStyle w:val="BodyText"/>
      </w:pPr>
      <w:r w:rsidRPr="00A307B9">
        <w:t>The unit of competency applies to builders, experienced tradespersons, project m</w:t>
      </w:r>
      <w:r w:rsidRPr="00A307B9">
        <w:t>anagers and estimators who prepare sketches and drawings for estimating, explaining details and showing measurements required for building and construction work.</w:t>
      </w:r>
    </w:p>
    <w:p w:rsidR="00000000" w:rsidRPr="00A307B9" w:rsidP="00157FBA">
      <w:pPr>
        <w:pStyle w:val="BodyText"/>
      </w:pPr>
      <w:r w:rsidRPr="00A307B9">
        <w:t>It does not describe more complex drafting skills.</w:t>
      </w:r>
    </w:p>
    <w:p w:rsidR="00000000" w:rsidRPr="00A307B9" w:rsidP="00157FBA">
      <w:pPr>
        <w:pStyle w:val="BodyText"/>
      </w:pPr>
      <w:r w:rsidRPr="00A307B9">
        <w:t>This unit of competency is suitable for tho</w:t>
      </w:r>
      <w:r w:rsidRPr="00A307B9">
        <w:t>se using specialised knowledge to complete routine and non-routine tasks and using their own judgement to deal with predictable and sometimes unpredictable problems.</w:t>
      </w:r>
    </w:p>
    <w:p w:rsidR="00000000" w:rsidRPr="00A307B9" w:rsidP="00157FBA">
      <w:pPr>
        <w:pStyle w:val="BodyText"/>
      </w:pPr>
      <w:r w:rsidRPr="00A307B9">
        <w:t>Completion of the general construction induction training program specified by the model C</w:t>
      </w:r>
      <w:r w:rsidRPr="00A307B9">
        <w:t>ode of Practice for Construction Work is required for any person who is to carry out construction work. Achievement of CPCWHS1001 Prepare to work safely in the construction industry</w:t>
      </w:r>
      <w:r w:rsidRPr="00A307B9">
        <w:rPr>
          <w:rStyle w:val="Emphasis"/>
        </w:rPr>
        <w:t xml:space="preserve"> </w:t>
      </w:r>
      <w:r w:rsidRPr="00A307B9">
        <w:t>meets this requirement.</w:t>
      </w:r>
    </w:p>
    <w:p w:rsidR="00000000" w:rsidRPr="00A307B9" w:rsidP="00157FBA">
      <w:pPr>
        <w:pStyle w:val="BodyText"/>
      </w:pPr>
      <w:r w:rsidRPr="00A307B9">
        <w:t>Licensing, regulatory or registration requirements</w:t>
      </w:r>
      <w:r w:rsidRPr="00A307B9">
        <w:t xml:space="preserve"> apply to this unit of competency in some jurisdictions. Relevant state and territory regulatory authorities should be consulted to confirm these requirements.</w:t>
      </w:r>
    </w:p>
    <w:p w:rsidR="00000000" w:rsidRPr="00A307B9" w:rsidP="00A307B9">
      <w:pPr>
        <w:pStyle w:val="Heading1"/>
      </w:pPr>
      <w:bookmarkStart w:id="3" w:name="O_1291822"/>
      <w:bookmarkEnd w:id="3"/>
      <w:r w:rsidRPr="00A307B9">
        <w:t>Pre-requisite Unit</w:t>
      </w:r>
    </w:p>
    <w:p w:rsidR="00000000" w:rsidRPr="00A307B9" w:rsidP="00157FBA">
      <w:pPr>
        <w:pStyle w:val="BodyText"/>
      </w:pPr>
      <w:r w:rsidRPr="00A307B9">
        <w:t>Nil.</w:t>
      </w:r>
    </w:p>
    <w:p w:rsidR="00000000" w:rsidRPr="00A307B9" w:rsidP="00A307B9">
      <w:pPr>
        <w:pStyle w:val="Heading1"/>
      </w:pPr>
      <w:bookmarkStart w:id="4" w:name="O_1291821"/>
      <w:bookmarkEnd w:id="4"/>
      <w:r w:rsidRPr="00A307B9">
        <w:t>Unit Sector</w:t>
      </w:r>
    </w:p>
    <w:p w:rsidR="00000000" w:rsidRPr="00A307B9" w:rsidP="00157FBA">
      <w:pPr>
        <w:pStyle w:val="BodyText"/>
      </w:pPr>
      <w:r w:rsidRPr="00A307B9">
        <w:t>Building and Construction</w:t>
      </w:r>
    </w:p>
    <w:p w:rsidR="00000000" w:rsidRPr="00A307B9" w:rsidP="00A307B9">
      <w:pPr>
        <w:pStyle w:val="Heading1"/>
      </w:pPr>
      <w:bookmarkStart w:id="5" w:name="O_1291820"/>
      <w:bookmarkEnd w:id="5"/>
      <w:r w:rsidRPr="00A307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Performance criteria describe what needs to be done to demonstrate achievement of the element.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Prepare to make sketches and drawin</w:t>
            </w:r>
            <w:r w:rsidRPr="00A307B9">
              <w:t>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Identify and select relevant information from construction plans required for sketching or drawing.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Confirm construction plan information complies with building and construction regulations, standards and codes.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Consider purpose and presentation of drawings and sketches and the intended audience.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Determine format of information and select and inspect equipment for serviceability.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Create simple sketches and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Establish and record measurements, information and details required for drawing and sketches.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Transfer vital information into two-dimensional and three-dimensional drawing and sketches.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Create sketches and drawings using standard drawin</w:t>
            </w:r>
            <w:r w:rsidRPr="00A307B9">
              <w:t>g conventions to detail vital information.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Produce sectional drawings to clearly identify and label elements and components.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Notate and process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Apply essential information to the drawing using dimension lines, symbols and abbreviations following standard drawing conventions.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Include drawing and job tile, date, scale and sheet number in the title block.</w:t>
            </w:r>
          </w:p>
        </w:tc>
      </w:tr>
      <w:tr w:rsidTr="00A30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B9">
            <w:pPr>
              <w:pStyle w:val="BodyText"/>
              <w:rPr>
                <w:lang w:val="en-NZ"/>
              </w:rPr>
            </w:pPr>
            <w:r w:rsidRPr="00A307B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7B9" w:rsidP="00A307B9">
            <w:pPr>
              <w:pStyle w:val="BodyText"/>
            </w:pPr>
            <w:r w:rsidRPr="00A307B9">
              <w:t>Produce completed drawings in an appropriate form for presentation.</w:t>
            </w:r>
          </w:p>
        </w:tc>
      </w:tr>
    </w:tbl>
    <w:p w:rsidR="00000000" w:rsidRPr="00A307B9" w:rsidP="00A307B9">
      <w:pPr>
        <w:pStyle w:val="BodyText"/>
      </w:pPr>
    </w:p>
    <w:p w:rsidR="00000000" w:rsidRPr="00A307B9" w:rsidP="00A307B9">
      <w:pPr>
        <w:pStyle w:val="AllowPageBreak"/>
      </w:pPr>
    </w:p>
    <w:p w:rsidR="00000000" w:rsidRPr="00A307B9" w:rsidP="00A307B9">
      <w:pPr>
        <w:pStyle w:val="Heading1"/>
      </w:pPr>
      <w:bookmarkStart w:id="6" w:name="O_1291819"/>
      <w:bookmarkEnd w:id="6"/>
      <w:r w:rsidRPr="00A307B9">
        <w:t>Foundation Skills</w:t>
      </w:r>
    </w:p>
    <w:p w:rsidR="00000000" w:rsidRPr="00A307B9" w:rsidP="00157FBA">
      <w:pPr>
        <w:pStyle w:val="BodyText"/>
      </w:pPr>
      <w:r w:rsidRPr="00A307B9">
        <w:t xml:space="preserve">Foundation skills essential to performance are explicit in the performance criteria of this unit of competency. </w:t>
      </w:r>
    </w:p>
    <w:p w:rsidR="00000000" w:rsidRPr="00A307B9" w:rsidP="00A307B9">
      <w:pPr>
        <w:pStyle w:val="Heading1"/>
      </w:pPr>
      <w:bookmarkStart w:id="7" w:name="O_1291818"/>
      <w:bookmarkEnd w:id="7"/>
      <w:r w:rsidRPr="00A307B9">
        <w:t>Unit Mapping Information</w:t>
      </w:r>
    </w:p>
    <w:p w:rsidR="00000000" w:rsidRPr="00A307B9" w:rsidP="00157FBA">
      <w:pPr>
        <w:pStyle w:val="BodyText"/>
      </w:pPr>
      <w:r w:rsidRPr="00A307B9">
        <w:t>Supersedes and is equivalent to CPCCBC4014A Prepare simple building sketches and drawings.</w:t>
      </w:r>
    </w:p>
    <w:p w:rsidR="00000000" w:rsidRPr="00A307B9" w:rsidP="00A307B9">
      <w:pPr>
        <w:pStyle w:val="Heading1"/>
      </w:pPr>
      <w:bookmarkStart w:id="8" w:name="O_1291825"/>
      <w:bookmarkEnd w:id="8"/>
      <w:r w:rsidRPr="00A307B9">
        <w:t>Links</w:t>
      </w:r>
    </w:p>
    <w:p w:rsidR="00000000" w:rsidRPr="00A307B9" w:rsidP="00157FBA">
      <w:pPr>
        <w:pStyle w:val="BodyText"/>
      </w:pPr>
      <w:r w:rsidRPr="00A307B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424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307B9" w:rsidP="00A307B9"/>
    <w:sectPr w:rsidSect="00A307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9" w:rsidRPr="00157FBA" w:rsidP="00157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BA" w:rsidP="00A30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FBA" w:rsidP="00A30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57FBA" w:rsidP="00A30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7B9" w:rsidRPr="00157FBA" w:rsidP="00157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BA" w:rsidRPr="002D2AF8" w:rsidP="00A30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CPCCBC4014 Prepare simple building sketches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57FBA" w:rsidP="00A30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7B9"/>
  </w:style>
  <w:style w:type="character" w:customStyle="1" w:styleId="Heading1Char">
    <w:name w:val="Heading 1 Char"/>
    <w:basedOn w:val="DefaultParagraphFont"/>
    <w:link w:val="Heading1"/>
    <w:rsid w:val="00A30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7B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307B9"/>
    <w:rPr>
      <w:i/>
    </w:rPr>
  </w:style>
  <w:style w:type="paragraph" w:customStyle="1" w:styleId="SuperHeading">
    <w:name w:val="SuperHeading"/>
    <w:basedOn w:val="Normal"/>
    <w:rsid w:val="00A30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7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7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7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0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7B9"/>
    <w:rPr>
      <w:b/>
      <w:spacing w:val="0"/>
    </w:rPr>
  </w:style>
  <w:style w:type="paragraph" w:customStyle="1" w:styleId="SuperTitle">
    <w:name w:val="SuperTitle"/>
    <w:basedOn w:val="Title"/>
    <w:rsid w:val="00A30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7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7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7B9"/>
  </w:style>
  <w:style w:type="paragraph" w:styleId="TableofFigures">
    <w:name w:val="table of figures"/>
    <w:basedOn w:val="Normal"/>
    <w:next w:val="Normal"/>
    <w:semiHidden/>
    <w:rsid w:val="00A30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7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07B9"/>
    <w:rPr>
      <w:rFonts w:ascii="Wingdings" w:hAnsi="Wingdings"/>
    </w:rPr>
  </w:style>
  <w:style w:type="paragraph" w:customStyle="1" w:styleId="TableHeading">
    <w:name w:val="Table Heading"/>
    <w:basedOn w:val="HeadingBase"/>
    <w:rsid w:val="00A307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7B9"/>
    <w:rPr>
      <w:color w:val="0033CC"/>
      <w:u w:val="none"/>
    </w:rPr>
  </w:style>
  <w:style w:type="paragraph" w:customStyle="1" w:styleId="BodyTextRight">
    <w:name w:val="Body Text Right"/>
    <w:basedOn w:val="BodyText"/>
    <w:rsid w:val="00A30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7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7B9"/>
    <w:rPr>
      <w:sz w:val="32"/>
    </w:rPr>
  </w:style>
  <w:style w:type="paragraph" w:customStyle="1" w:styleId="HeadingProcedure">
    <w:name w:val="Heading Procedure"/>
    <w:basedOn w:val="HeadingBase"/>
    <w:next w:val="Normal"/>
    <w:rsid w:val="00A30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7B9"/>
    <w:pPr>
      <w:spacing w:before="60" w:after="60"/>
    </w:pPr>
  </w:style>
  <w:style w:type="paragraph" w:styleId="ListContinue">
    <w:name w:val="List Continue"/>
    <w:basedOn w:val="List"/>
    <w:rsid w:val="00A307B9"/>
    <w:pPr>
      <w:ind w:firstLine="0"/>
    </w:pPr>
  </w:style>
  <w:style w:type="paragraph" w:customStyle="1" w:styleId="ListNote">
    <w:name w:val="List Note"/>
    <w:basedOn w:val="List"/>
    <w:rsid w:val="00A30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7B9"/>
    <w:rPr>
      <w:rFonts w:ascii="Courier New" w:hAnsi="Courier New"/>
    </w:rPr>
  </w:style>
  <w:style w:type="paragraph" w:customStyle="1" w:styleId="NoteBullet">
    <w:name w:val="Note Bullet"/>
    <w:basedOn w:val="Note"/>
    <w:rsid w:val="00A30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7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0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7B9"/>
    <w:rPr>
      <w:b/>
      <w:smallCaps/>
    </w:rPr>
  </w:style>
  <w:style w:type="paragraph" w:customStyle="1" w:styleId="TableListNumber">
    <w:name w:val="Table List Number"/>
    <w:basedOn w:val="ListNumber"/>
    <w:rsid w:val="00A30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7B9"/>
    <w:pPr>
      <w:numPr>
        <w:numId w:val="7"/>
      </w:numPr>
    </w:pPr>
  </w:style>
  <w:style w:type="paragraph" w:customStyle="1" w:styleId="ListAlpha2">
    <w:name w:val="List Alpha 2"/>
    <w:basedOn w:val="List2"/>
    <w:rsid w:val="00A307B9"/>
    <w:pPr>
      <w:numPr>
        <w:numId w:val="6"/>
      </w:numPr>
    </w:pPr>
  </w:style>
  <w:style w:type="paragraph" w:styleId="List2">
    <w:name w:val="List 2"/>
    <w:basedOn w:val="BodyText"/>
    <w:rsid w:val="00A30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7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7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7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07B9"/>
    <w:pPr>
      <w:numPr>
        <w:numId w:val="2"/>
      </w:numPr>
    </w:pPr>
  </w:style>
  <w:style w:type="paragraph" w:styleId="ListContinue2">
    <w:name w:val="List Continue 2"/>
    <w:basedOn w:val="List2"/>
    <w:rsid w:val="00A307B9"/>
    <w:pPr>
      <w:ind w:firstLine="0"/>
    </w:pPr>
  </w:style>
  <w:style w:type="paragraph" w:styleId="ListContinue3">
    <w:name w:val="List Continue 3"/>
    <w:basedOn w:val="List3"/>
    <w:rsid w:val="00A307B9"/>
    <w:pPr>
      <w:ind w:left="1021" w:firstLine="0"/>
    </w:pPr>
  </w:style>
  <w:style w:type="paragraph" w:styleId="ListContinue4">
    <w:name w:val="List Continue 4"/>
    <w:basedOn w:val="List4"/>
    <w:rsid w:val="00A307B9"/>
    <w:pPr>
      <w:ind w:firstLine="0"/>
    </w:pPr>
  </w:style>
  <w:style w:type="paragraph" w:styleId="ListContinue5">
    <w:name w:val="List Continue 5"/>
    <w:basedOn w:val="List5"/>
    <w:rsid w:val="00A307B9"/>
    <w:pPr>
      <w:ind w:firstLine="0"/>
    </w:pPr>
  </w:style>
  <w:style w:type="paragraph" w:styleId="ListNumber3">
    <w:name w:val="List Number 3"/>
    <w:basedOn w:val="List3"/>
    <w:rsid w:val="00A307B9"/>
    <w:pPr>
      <w:numPr>
        <w:numId w:val="3"/>
      </w:numPr>
    </w:pPr>
  </w:style>
  <w:style w:type="paragraph" w:styleId="ListNumber4">
    <w:name w:val="List Number 4"/>
    <w:basedOn w:val="List4"/>
    <w:rsid w:val="00A307B9"/>
    <w:pPr>
      <w:numPr>
        <w:numId w:val="4"/>
      </w:numPr>
    </w:pPr>
  </w:style>
  <w:style w:type="paragraph" w:styleId="ListNumber5">
    <w:name w:val="List Number 5"/>
    <w:basedOn w:val="List5"/>
    <w:rsid w:val="00A307B9"/>
    <w:pPr>
      <w:numPr>
        <w:numId w:val="5"/>
      </w:numPr>
    </w:pPr>
  </w:style>
  <w:style w:type="paragraph" w:styleId="BlockText">
    <w:name w:val="Block Text"/>
    <w:basedOn w:val="Normal"/>
    <w:rsid w:val="00A30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7B9"/>
    <w:rPr>
      <w:sz w:val="16"/>
      <w:vertAlign w:val="superscript"/>
    </w:rPr>
  </w:style>
  <w:style w:type="character" w:customStyle="1" w:styleId="Symbols">
    <w:name w:val="Symbols"/>
    <w:basedOn w:val="DefaultParagraphFont"/>
    <w:rsid w:val="00A307B9"/>
    <w:rPr>
      <w:rFonts w:ascii="Symbol" w:hAnsi="Symbol"/>
    </w:rPr>
  </w:style>
  <w:style w:type="character" w:customStyle="1" w:styleId="MenuOptions">
    <w:name w:val="Menu Options"/>
    <w:basedOn w:val="DefaultParagraphFont"/>
    <w:rsid w:val="00A30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7B9"/>
    <w:rPr>
      <w:b/>
    </w:rPr>
  </w:style>
  <w:style w:type="character" w:customStyle="1" w:styleId="Underlined">
    <w:name w:val="Underlined"/>
    <w:basedOn w:val="DefaultParagraphFont"/>
    <w:rsid w:val="00A307B9"/>
    <w:rPr>
      <w:u w:val="single"/>
    </w:rPr>
  </w:style>
  <w:style w:type="paragraph" w:customStyle="1" w:styleId="TableBodyTextRight">
    <w:name w:val="Table Body Text Right"/>
    <w:basedOn w:val="TableBodyText"/>
    <w:rsid w:val="00A30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7B9"/>
    <w:rPr>
      <w:sz w:val="18"/>
    </w:rPr>
  </w:style>
  <w:style w:type="paragraph" w:customStyle="1" w:styleId="BodySmallRight">
    <w:name w:val="Body Small Right"/>
    <w:basedOn w:val="BodyTextRight"/>
    <w:rsid w:val="00A307B9"/>
    <w:rPr>
      <w:sz w:val="18"/>
      <w:szCs w:val="18"/>
    </w:rPr>
  </w:style>
  <w:style w:type="paragraph" w:customStyle="1" w:styleId="MarginEdition">
    <w:name w:val="Margin Edition"/>
    <w:basedOn w:val="MarginNote"/>
    <w:rsid w:val="00A30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7B9"/>
    <w:rPr>
      <w:sz w:val="2"/>
      <w:szCs w:val="2"/>
    </w:rPr>
  </w:style>
  <w:style w:type="character" w:customStyle="1" w:styleId="Small">
    <w:name w:val="Small"/>
    <w:basedOn w:val="DefaultParagraphFont"/>
    <w:rsid w:val="00A307B9"/>
    <w:rPr>
      <w:sz w:val="16"/>
    </w:rPr>
  </w:style>
  <w:style w:type="paragraph" w:customStyle="1" w:styleId="WideTable">
    <w:name w:val="Wide Table"/>
    <w:basedOn w:val="Normal"/>
    <w:rsid w:val="00A30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7B9"/>
  </w:style>
  <w:style w:type="paragraph" w:styleId="Quote">
    <w:name w:val="Quote"/>
    <w:basedOn w:val="Heading1"/>
    <w:link w:val="QuoteChar"/>
    <w:qFormat/>
    <w:rsid w:val="00A30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7B9"/>
    <w:pPr>
      <w:pageBreakBefore/>
    </w:pPr>
  </w:style>
  <w:style w:type="paragraph" w:customStyle="1" w:styleId="Border">
    <w:name w:val="Border"/>
    <w:basedOn w:val="Normal"/>
    <w:qFormat/>
    <w:rsid w:val="00A30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7B9"/>
    <w:rPr>
      <w:u w:val="single"/>
    </w:rPr>
  </w:style>
  <w:style w:type="character" w:customStyle="1" w:styleId="BoldandItalics">
    <w:name w:val="Bold and Italics"/>
    <w:qFormat/>
    <w:rsid w:val="00A307B9"/>
    <w:rPr>
      <w:b/>
      <w:i/>
      <w:u w:val="none"/>
    </w:rPr>
  </w:style>
  <w:style w:type="paragraph" w:styleId="BalloonText">
    <w:name w:val="Balloon Text"/>
    <w:basedOn w:val="Normal"/>
    <w:link w:val="BalloonTextChar"/>
    <w:rsid w:val="00A30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7B9"/>
    <w:pPr>
      <w:spacing w:before="0" w:after="0"/>
    </w:pPr>
  </w:style>
  <w:style w:type="paragraph" w:customStyle="1" w:styleId="BodyTextBold">
    <w:name w:val="Body Text Bold"/>
    <w:basedOn w:val="BodyText"/>
    <w:qFormat/>
    <w:rsid w:val="00A307B9"/>
    <w:rPr>
      <w:b/>
    </w:rPr>
  </w:style>
  <w:style w:type="character" w:styleId="Hyperlink">
    <w:name w:val="Hyperlink"/>
    <w:basedOn w:val="DefaultParagraphFont"/>
    <w:uiPriority w:val="99"/>
    <w:unhideWhenUsed/>
    <w:rsid w:val="00157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3306</Characters>
  <Application>Microsoft Office Word</Application>
  <DocSecurity>0</DocSecurity>
  <Lines>132</Lines>
  <Paragraphs>69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CPCCBC4014 Prepare simple building sketches and drawings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