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9BC" w:rsidP="001169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CPCCBC4014 Prepare simple building sketches and drawings</w:t>
      </w:r>
      <w:r>
        <w:fldChar w:fldCharType="end"/>
      </w:r>
    </w:p>
    <w:p w:rsidR="001169BC" w:rsidP="001169BC">
      <w:pPr>
        <w:pStyle w:val="Version"/>
        <w:sectPr w:rsidSect="00B87F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87F01" w:rsidP="00B87F01">
      <w:pPr>
        <w:pStyle w:val="SuperHeading"/>
      </w:pPr>
      <w:r w:rsidRPr="00B87F01">
        <w:t>Assessment Requirements for CPCCBC4014 Prepare simple building sketches and drawings</w:t>
      </w:r>
    </w:p>
    <w:p w:rsidR="00000000" w:rsidRPr="00B87F01" w:rsidP="00B87F01">
      <w:pPr>
        <w:pStyle w:val="Heading1"/>
      </w:pPr>
      <w:bookmarkStart w:id="1" w:name="O_1291816"/>
      <w:bookmarkEnd w:id="1"/>
      <w:r w:rsidRPr="00B87F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87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01">
            <w:pPr>
              <w:pStyle w:val="BodyText"/>
              <w:rPr>
                <w:lang w:val="en-NZ"/>
              </w:rPr>
            </w:pPr>
            <w:r w:rsidRPr="00B87F0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01">
            <w:pPr>
              <w:pStyle w:val="BodyText"/>
              <w:rPr>
                <w:lang w:val="en-NZ"/>
              </w:rPr>
            </w:pPr>
            <w:r w:rsidRPr="00B87F01">
              <w:t>Updated reference to general construction induction training program.</w:t>
            </w:r>
          </w:p>
        </w:tc>
      </w:tr>
      <w:tr w:rsidTr="00B87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01">
            <w:pPr>
              <w:pStyle w:val="BodyText"/>
              <w:rPr>
                <w:lang w:val="en-NZ"/>
              </w:rPr>
            </w:pPr>
            <w:r w:rsidRPr="00B87F0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01" w:rsidP="00B87F01">
            <w:pPr>
              <w:pStyle w:val="BodyText"/>
            </w:pPr>
            <w:r w:rsidRPr="00B87F01">
              <w:t>This version first released with CPC Construction, Plumbing and Services Training Package Release 5.0.</w:t>
            </w:r>
          </w:p>
          <w:p w:rsidR="00000000" w:rsidRPr="00B87F01" w:rsidP="00B87F01">
            <w:pPr>
              <w:pStyle w:val="BodyText"/>
            </w:pPr>
            <w:r w:rsidRPr="00B87F01">
              <w:t>Supersedes and is equivalent to CPCCBC4014A Prepare simple building sketches and drawings.  Updated to meet the Standards for Training Packages 2012.</w:t>
            </w:r>
          </w:p>
        </w:tc>
      </w:tr>
    </w:tbl>
    <w:p w:rsidR="00000000" w:rsidRPr="00B87F01" w:rsidP="00B87F01">
      <w:pPr>
        <w:pStyle w:val="BodyText"/>
      </w:pPr>
    </w:p>
    <w:p w:rsidR="00000000" w:rsidRPr="00B87F01" w:rsidP="00B87F01">
      <w:pPr>
        <w:pStyle w:val="AllowPageBreak"/>
      </w:pPr>
    </w:p>
    <w:p w:rsidR="00000000" w:rsidRPr="00B87F01" w:rsidP="00B87F01">
      <w:pPr>
        <w:pStyle w:val="Heading1"/>
      </w:pPr>
      <w:bookmarkStart w:id="2" w:name="O_1291815"/>
      <w:bookmarkEnd w:id="2"/>
      <w:r w:rsidRPr="00B87F01">
        <w:t>Performance Evidence</w:t>
      </w:r>
    </w:p>
    <w:p w:rsidR="00000000" w:rsidRPr="00B87F01" w:rsidP="001169BC">
      <w:pPr>
        <w:pStyle w:val="BodyText"/>
      </w:pPr>
      <w:r w:rsidRPr="00B87F01">
        <w:t>To demonstrate competency, a candidate must meet the elements and performance criteria of this unit by drawing two components of the fabric of the building from a set of construction plans and prepare drawings for pre</w:t>
      </w:r>
      <w:r w:rsidRPr="00B87F01">
        <w:t>sentation.</w:t>
      </w:r>
    </w:p>
    <w:p w:rsidR="00000000" w:rsidRPr="00B87F01" w:rsidP="001169BC">
      <w:pPr>
        <w:pStyle w:val="BodyText"/>
      </w:pPr>
      <w:r w:rsidRPr="00B87F01">
        <w:t>In doing this, the candidate must:</w:t>
      </w:r>
    </w:p>
    <w:p w:rsidR="00000000" w:rsidRPr="00B87F01" w:rsidP="00B87F01">
      <w:pPr>
        <w:pStyle w:val="ListBullet"/>
      </w:pPr>
      <w:r w:rsidRPr="00B87F01">
        <w:t xml:space="preserve">select one structural and one non-structural component and collate vital information required for the drawing  </w:t>
      </w:r>
    </w:p>
    <w:p w:rsidR="00000000" w:rsidRPr="00B87F01" w:rsidP="00B87F01">
      <w:pPr>
        <w:pStyle w:val="ListBullet"/>
      </w:pPr>
      <w:r w:rsidRPr="00B87F01">
        <w:t>prepare simple sketches of the structural and non-structural components</w:t>
      </w:r>
    </w:p>
    <w:p w:rsidR="00000000" w:rsidRPr="00B87F01" w:rsidP="00B87F01">
      <w:pPr>
        <w:pStyle w:val="ListBullet"/>
      </w:pPr>
      <w:r w:rsidRPr="00B87F01">
        <w:t>produce clear and descriptive drawings with appropriate notations and labelling.</w:t>
      </w:r>
    </w:p>
    <w:p w:rsidR="00000000" w:rsidRPr="00B87F01" w:rsidP="00B87F01">
      <w:pPr>
        <w:pStyle w:val="AllowPageBreak"/>
      </w:pPr>
    </w:p>
    <w:p w:rsidR="00000000" w:rsidRPr="00B87F01" w:rsidP="00B87F01">
      <w:pPr>
        <w:pStyle w:val="Heading1"/>
      </w:pPr>
      <w:bookmarkStart w:id="3" w:name="O_1291814"/>
      <w:bookmarkEnd w:id="3"/>
      <w:r w:rsidRPr="00B87F01">
        <w:t>Knowledge Evidence</w:t>
      </w:r>
    </w:p>
    <w:p w:rsidR="00000000" w:rsidRPr="00B87F01" w:rsidP="001169BC">
      <w:pPr>
        <w:pStyle w:val="BodyText"/>
      </w:pPr>
      <w:r w:rsidRPr="00B87F01">
        <w:t>To be competent in this unit, a candidate must demonstrate knowledge of:</w:t>
      </w:r>
    </w:p>
    <w:p w:rsidR="00000000" w:rsidRPr="00B87F01" w:rsidP="00B87F01">
      <w:pPr>
        <w:pStyle w:val="ListBullet"/>
      </w:pPr>
      <w:r w:rsidRPr="00B87F01">
        <w:t>types of building and construction plans:</w:t>
      </w:r>
    </w:p>
    <w:p w:rsidR="00000000" w:rsidRPr="00B87F01" w:rsidP="00B87F01">
      <w:pPr>
        <w:pStyle w:val="ListBullet2"/>
      </w:pPr>
      <w:r w:rsidRPr="00B87F01">
        <w:t>presentation drawing</w:t>
      </w:r>
      <w:r w:rsidRPr="00B87F01">
        <w:t>s</w:t>
      </w:r>
    </w:p>
    <w:p w:rsidR="00000000" w:rsidRPr="00B87F01" w:rsidP="00B87F01">
      <w:pPr>
        <w:pStyle w:val="ListBullet2"/>
      </w:pPr>
      <w:r w:rsidRPr="00B87F01">
        <w:t>isometric drawings</w:t>
      </w:r>
    </w:p>
    <w:p w:rsidR="00000000" w:rsidRPr="00B87F01" w:rsidP="00B87F01">
      <w:pPr>
        <w:pStyle w:val="ListBullet2"/>
      </w:pPr>
      <w:r w:rsidRPr="00B87F01">
        <w:t>orthographic drawings</w:t>
      </w:r>
    </w:p>
    <w:p w:rsidR="00000000" w:rsidRPr="00B87F01" w:rsidP="00B87F01">
      <w:pPr>
        <w:pStyle w:val="ListBullet2"/>
      </w:pPr>
      <w:r w:rsidRPr="00B87F01">
        <w:t xml:space="preserve">perspective drawings </w:t>
      </w:r>
    </w:p>
    <w:p w:rsidR="00000000" w:rsidRPr="00B87F01" w:rsidP="00B87F01">
      <w:pPr>
        <w:pStyle w:val="ListBullet"/>
      </w:pPr>
      <w:r w:rsidRPr="00B87F01">
        <w:t>drawing conventions:</w:t>
      </w:r>
    </w:p>
    <w:p w:rsidR="00000000" w:rsidRPr="00B87F01" w:rsidP="00B87F01">
      <w:pPr>
        <w:pStyle w:val="ListBullet2"/>
      </w:pPr>
      <w:r w:rsidRPr="00B87F01">
        <w:t>sheet layout</w:t>
      </w:r>
    </w:p>
    <w:p w:rsidR="00000000" w:rsidRPr="00B87F01" w:rsidP="00B87F01">
      <w:pPr>
        <w:pStyle w:val="ListBullet2"/>
      </w:pPr>
      <w:r w:rsidRPr="00B87F01">
        <w:t>title block</w:t>
      </w:r>
    </w:p>
    <w:p w:rsidR="00000000" w:rsidRPr="00B87F01" w:rsidP="00B87F01">
      <w:pPr>
        <w:pStyle w:val="ListBullet2"/>
      </w:pPr>
      <w:r w:rsidRPr="00B87F01">
        <w:t>line types</w:t>
      </w:r>
    </w:p>
    <w:p w:rsidR="00000000" w:rsidRPr="00B87F01" w:rsidP="00B87F01">
      <w:pPr>
        <w:pStyle w:val="ListBullet2"/>
      </w:pPr>
      <w:r w:rsidRPr="00B87F01">
        <w:t>symbols</w:t>
      </w:r>
    </w:p>
    <w:p w:rsidR="00000000" w:rsidRPr="00B87F01" w:rsidP="00B87F01">
      <w:pPr>
        <w:pStyle w:val="ListBullet2"/>
      </w:pPr>
      <w:r w:rsidRPr="00B87F01">
        <w:t>dimensions and dimension lines</w:t>
      </w:r>
    </w:p>
    <w:p w:rsidR="00000000" w:rsidRPr="00B87F01" w:rsidP="00B87F01">
      <w:pPr>
        <w:pStyle w:val="ListBullet2"/>
      </w:pPr>
      <w:r w:rsidRPr="00B87F01">
        <w:t>abbreviations</w:t>
      </w:r>
    </w:p>
    <w:p w:rsidR="00000000" w:rsidRPr="00B87F01" w:rsidP="00B87F01">
      <w:pPr>
        <w:pStyle w:val="ListBullet"/>
      </w:pPr>
      <w:r w:rsidRPr="00B87F01">
        <w:t>key features of a construction plan</w:t>
      </w:r>
    </w:p>
    <w:p w:rsidR="00000000" w:rsidRPr="00B87F01" w:rsidP="00B87F01">
      <w:pPr>
        <w:pStyle w:val="ListBullet"/>
      </w:pPr>
      <w:r w:rsidRPr="00B87F01">
        <w:t>computer-aided design (CAD) drawings</w:t>
      </w:r>
    </w:p>
    <w:p w:rsidR="00000000" w:rsidRPr="00B87F01" w:rsidP="00B87F01">
      <w:pPr>
        <w:pStyle w:val="ListBullet"/>
      </w:pPr>
      <w:r w:rsidRPr="00B87F01">
        <w:t>technical drawing by hand</w:t>
      </w:r>
    </w:p>
    <w:p w:rsidR="00000000" w:rsidRPr="00B87F01" w:rsidP="00B87F01">
      <w:pPr>
        <w:pStyle w:val="ListBullet"/>
      </w:pPr>
      <w:r w:rsidRPr="00B87F01">
        <w:t>building and construction regulations, standards and codes</w:t>
      </w:r>
    </w:p>
    <w:p w:rsidR="00000000" w:rsidRPr="00B87F01" w:rsidP="00B87F01">
      <w:pPr>
        <w:pStyle w:val="ListBullet"/>
      </w:pPr>
      <w:r w:rsidRPr="00B87F01">
        <w:t>the NCC</w:t>
      </w:r>
    </w:p>
    <w:p w:rsidR="00000000" w:rsidRPr="00B87F01" w:rsidP="00B87F01">
      <w:pPr>
        <w:pStyle w:val="ListBullet"/>
      </w:pPr>
      <w:r w:rsidRPr="00B87F01">
        <w:t>building information modelling (BIM)</w:t>
      </w:r>
    </w:p>
    <w:p w:rsidR="00000000" w:rsidRPr="00B87F01" w:rsidP="00B87F01">
      <w:pPr>
        <w:pStyle w:val="ListBullet"/>
      </w:pPr>
      <w:r w:rsidRPr="00B87F01">
        <w:t>building and construction methods and terminology</w:t>
      </w:r>
    </w:p>
    <w:p w:rsidR="00000000" w:rsidRPr="00B87F01" w:rsidP="00B87F01">
      <w:pPr>
        <w:pStyle w:val="ListBullet"/>
      </w:pPr>
      <w:r w:rsidRPr="00B87F01">
        <w:t>workplace processes, workplace safety and environmental requirements.</w:t>
      </w:r>
    </w:p>
    <w:p w:rsidR="00000000" w:rsidRPr="00B87F01" w:rsidP="00B87F01">
      <w:pPr>
        <w:pStyle w:val="AllowPageBreak"/>
      </w:pPr>
    </w:p>
    <w:p w:rsidR="00000000" w:rsidRPr="00B87F01" w:rsidP="00B87F01">
      <w:pPr>
        <w:pStyle w:val="Heading1"/>
      </w:pPr>
      <w:bookmarkStart w:id="4" w:name="O_1291813"/>
      <w:bookmarkEnd w:id="4"/>
      <w:r w:rsidRPr="00B87F01">
        <w:t>Assessment Conditions</w:t>
      </w:r>
    </w:p>
    <w:p w:rsidR="00000000" w:rsidRPr="00B87F01" w:rsidP="001169BC">
      <w:pPr>
        <w:pStyle w:val="BodyText"/>
      </w:pPr>
      <w:r w:rsidRPr="00B87F01">
        <w:t xml:space="preserve">Assessors must meet the requirements for assessors contained in the Standards for Registered Training Organisations. </w:t>
      </w:r>
    </w:p>
    <w:p w:rsidR="00000000" w:rsidRPr="00B87F01" w:rsidP="001169BC">
      <w:pPr>
        <w:pStyle w:val="BodyText"/>
      </w:pPr>
      <w:r w:rsidRPr="00B87F01">
        <w:t xml:space="preserve">Assessment can be undertaken in the workplace or in a simulated workplace environment. </w:t>
      </w:r>
    </w:p>
    <w:p w:rsidR="00000000" w:rsidRPr="00B87F01" w:rsidP="001169BC">
      <w:pPr>
        <w:pStyle w:val="BodyText"/>
      </w:pPr>
      <w:r w:rsidRPr="00B87F01">
        <w:t>A simulate</w:t>
      </w:r>
      <w:r w:rsidRPr="00B87F01">
        <w:t xml:space="preserve">d environment is one that realistically replicates workplace conditions, materials and equipment, interactions with others and workplace irregularities, and which meets industry standards for safety and environmental practices. </w:t>
      </w:r>
    </w:p>
    <w:p w:rsidR="00000000" w:rsidRPr="00B87F01" w:rsidP="001169BC">
      <w:pPr>
        <w:pStyle w:val="BodyText"/>
      </w:pPr>
      <w:r w:rsidRPr="00B87F01">
        <w:t>Candidates must have access</w:t>
      </w:r>
      <w:r w:rsidRPr="00B87F01">
        <w:t xml:space="preserve"> to:</w:t>
      </w:r>
    </w:p>
    <w:p w:rsidR="00000000" w:rsidRPr="00B87F01" w:rsidP="00B87F01">
      <w:pPr>
        <w:pStyle w:val="ListBullet"/>
      </w:pPr>
      <w:r w:rsidRPr="00B87F01">
        <w:t>construction plans and specifications</w:t>
      </w:r>
    </w:p>
    <w:p w:rsidR="00000000" w:rsidRPr="00B87F01" w:rsidP="00B87F01">
      <w:pPr>
        <w:pStyle w:val="ListBullet"/>
      </w:pPr>
      <w:r w:rsidRPr="00B87F01">
        <w:t>current building and construction codes and standards</w:t>
      </w:r>
    </w:p>
    <w:p w:rsidR="00000000" w:rsidRPr="00B87F01" w:rsidP="00B87F01">
      <w:pPr>
        <w:pStyle w:val="ListBullet"/>
      </w:pPr>
      <w:r w:rsidRPr="00B87F01">
        <w:t>the NCC</w:t>
      </w:r>
    </w:p>
    <w:p w:rsidR="00000000" w:rsidRPr="00B87F01" w:rsidP="00B87F01">
      <w:pPr>
        <w:pStyle w:val="ListBullet"/>
      </w:pPr>
      <w:r w:rsidRPr="00B87F01">
        <w:t>hand drawing equipment</w:t>
      </w:r>
    </w:p>
    <w:p w:rsidR="00000000" w:rsidRPr="00B87F01" w:rsidP="00B87F01">
      <w:pPr>
        <w:pStyle w:val="ListBullet"/>
      </w:pPr>
      <w:r w:rsidRPr="00B87F01">
        <w:t>workplace procedures and other quality documentation required to undertake the performance criteria and assessment requirements</w:t>
      </w:r>
      <w:r w:rsidRPr="00B87F01">
        <w:t xml:space="preserve"> </w:t>
      </w:r>
    </w:p>
    <w:p w:rsidR="00000000" w:rsidRPr="00B87F01" w:rsidP="00B87F01">
      <w:pPr>
        <w:pStyle w:val="ListBullet"/>
      </w:pPr>
      <w:r w:rsidRPr="00B87F01">
        <w:t>computers, applications and software to access drawings and other relevant information.</w:t>
      </w:r>
    </w:p>
    <w:p w:rsidR="00000000" w:rsidRPr="00B87F01" w:rsidP="00B87F01">
      <w:pPr>
        <w:pStyle w:val="AllowPageBreak"/>
      </w:pPr>
    </w:p>
    <w:p w:rsidR="00000000" w:rsidRPr="00B87F01" w:rsidP="00B87F01">
      <w:pPr>
        <w:pStyle w:val="Heading1"/>
      </w:pPr>
      <w:bookmarkStart w:id="5" w:name="O_1291826"/>
      <w:bookmarkEnd w:id="5"/>
      <w:r w:rsidRPr="00B87F01">
        <w:t>Links</w:t>
      </w:r>
    </w:p>
    <w:p w:rsidR="00000000" w:rsidRPr="00B87F01" w:rsidP="001169BC">
      <w:pPr>
        <w:pStyle w:val="BodyText"/>
      </w:pPr>
      <w:r w:rsidRPr="00B87F0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36B2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87F01" w:rsidP="00B87F01"/>
    <w:sectPr w:rsidSect="00B87F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01" w:rsidRPr="001169BC" w:rsidP="001169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9BC" w:rsidP="00B87F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69BC" w:rsidP="00B87F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169BC" w:rsidP="00B87F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9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7F01" w:rsidRPr="001169BC" w:rsidP="001169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9BC" w:rsidRPr="002D2AF8" w:rsidP="00B87F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CPCCBC4014 Prepare simple building sketches and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169BC" w:rsidP="00B87F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32BA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EEF4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40BF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F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7F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7F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7F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7F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7F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7F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7F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7F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7F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7F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7F01"/>
  </w:style>
  <w:style w:type="character" w:customStyle="1" w:styleId="Heading1Char">
    <w:name w:val="Heading 1 Char"/>
    <w:basedOn w:val="DefaultParagraphFont"/>
    <w:link w:val="Heading1"/>
    <w:rsid w:val="00B87F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7F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7F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7F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7F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7F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7F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7F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7F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7F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7F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7F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7F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7F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7F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7F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7F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7F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7F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7F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7F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7F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7F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7F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7F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7F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7F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7F01"/>
    <w:rPr>
      <w:b/>
      <w:spacing w:val="0"/>
    </w:rPr>
  </w:style>
  <w:style w:type="paragraph" w:customStyle="1" w:styleId="SuperTitle">
    <w:name w:val="SuperTitle"/>
    <w:basedOn w:val="Title"/>
    <w:rsid w:val="00B87F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7F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7F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7F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7F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7F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7F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7F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7F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7F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7F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7F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7F01"/>
    <w:rPr>
      <w:i/>
    </w:rPr>
  </w:style>
  <w:style w:type="paragraph" w:styleId="Caption">
    <w:name w:val="caption"/>
    <w:basedOn w:val="BodyText"/>
    <w:next w:val="Normal"/>
    <w:qFormat/>
    <w:rsid w:val="00B87F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7F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7F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7F01"/>
  </w:style>
  <w:style w:type="paragraph" w:styleId="TableofFigures">
    <w:name w:val="table of figures"/>
    <w:basedOn w:val="Normal"/>
    <w:next w:val="Normal"/>
    <w:semiHidden/>
    <w:rsid w:val="00B87F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7F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7F01"/>
    <w:rPr>
      <w:rFonts w:ascii="Wingdings" w:hAnsi="Wingdings"/>
    </w:rPr>
  </w:style>
  <w:style w:type="paragraph" w:customStyle="1" w:styleId="TableHeading">
    <w:name w:val="Table Heading"/>
    <w:basedOn w:val="HeadingBase"/>
    <w:rsid w:val="00B87F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7F01"/>
    <w:rPr>
      <w:color w:val="0033CC"/>
      <w:u w:val="none"/>
    </w:rPr>
  </w:style>
  <w:style w:type="paragraph" w:customStyle="1" w:styleId="BodyTextRight">
    <w:name w:val="Body Text Right"/>
    <w:basedOn w:val="BodyText"/>
    <w:rsid w:val="00B87F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7F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7F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7F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7F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7F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7F01"/>
    <w:rPr>
      <w:sz w:val="32"/>
    </w:rPr>
  </w:style>
  <w:style w:type="paragraph" w:customStyle="1" w:styleId="HeadingProcedure">
    <w:name w:val="Heading Procedure"/>
    <w:basedOn w:val="HeadingBase"/>
    <w:next w:val="Normal"/>
    <w:rsid w:val="00B87F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7F01"/>
    <w:pPr>
      <w:spacing w:before="60" w:after="60"/>
    </w:pPr>
  </w:style>
  <w:style w:type="paragraph" w:styleId="ListContinue">
    <w:name w:val="List Continue"/>
    <w:basedOn w:val="List"/>
    <w:rsid w:val="00B87F01"/>
    <w:pPr>
      <w:ind w:firstLine="0"/>
    </w:pPr>
  </w:style>
  <w:style w:type="paragraph" w:customStyle="1" w:styleId="ListNote">
    <w:name w:val="List Note"/>
    <w:basedOn w:val="List"/>
    <w:rsid w:val="00B87F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7F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7F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7F01"/>
    <w:rPr>
      <w:rFonts w:ascii="Courier New" w:hAnsi="Courier New"/>
    </w:rPr>
  </w:style>
  <w:style w:type="paragraph" w:customStyle="1" w:styleId="NoteBullet">
    <w:name w:val="Note Bullet"/>
    <w:basedOn w:val="Note"/>
    <w:rsid w:val="00B87F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7F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7F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7F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7F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7F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7F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7F01"/>
    <w:rPr>
      <w:b/>
      <w:smallCaps/>
    </w:rPr>
  </w:style>
  <w:style w:type="paragraph" w:customStyle="1" w:styleId="TableListNumber">
    <w:name w:val="Table List Number"/>
    <w:basedOn w:val="ListNumber"/>
    <w:rsid w:val="00B87F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7F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7F01"/>
    <w:pPr>
      <w:numPr>
        <w:numId w:val="9"/>
      </w:numPr>
    </w:pPr>
  </w:style>
  <w:style w:type="paragraph" w:customStyle="1" w:styleId="ListAlpha2">
    <w:name w:val="List Alpha 2"/>
    <w:basedOn w:val="List2"/>
    <w:rsid w:val="00B87F01"/>
    <w:pPr>
      <w:numPr>
        <w:numId w:val="8"/>
      </w:numPr>
    </w:pPr>
  </w:style>
  <w:style w:type="paragraph" w:styleId="List2">
    <w:name w:val="List 2"/>
    <w:basedOn w:val="BodyText"/>
    <w:rsid w:val="00B87F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7F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7F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7F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7F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7F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7F01"/>
    <w:pPr>
      <w:numPr>
        <w:numId w:val="4"/>
      </w:numPr>
    </w:pPr>
  </w:style>
  <w:style w:type="paragraph" w:styleId="ListContinue2">
    <w:name w:val="List Continue 2"/>
    <w:basedOn w:val="List2"/>
    <w:rsid w:val="00B87F01"/>
    <w:pPr>
      <w:ind w:firstLine="0"/>
    </w:pPr>
  </w:style>
  <w:style w:type="paragraph" w:styleId="ListContinue3">
    <w:name w:val="List Continue 3"/>
    <w:basedOn w:val="List3"/>
    <w:rsid w:val="00B87F01"/>
    <w:pPr>
      <w:ind w:left="1021" w:firstLine="0"/>
    </w:pPr>
  </w:style>
  <w:style w:type="paragraph" w:styleId="ListContinue4">
    <w:name w:val="List Continue 4"/>
    <w:basedOn w:val="List4"/>
    <w:rsid w:val="00B87F01"/>
    <w:pPr>
      <w:ind w:firstLine="0"/>
    </w:pPr>
  </w:style>
  <w:style w:type="paragraph" w:styleId="ListContinue5">
    <w:name w:val="List Continue 5"/>
    <w:basedOn w:val="List5"/>
    <w:rsid w:val="00B87F01"/>
    <w:pPr>
      <w:ind w:firstLine="0"/>
    </w:pPr>
  </w:style>
  <w:style w:type="paragraph" w:styleId="ListNumber3">
    <w:name w:val="List Number 3"/>
    <w:basedOn w:val="List3"/>
    <w:rsid w:val="00B87F01"/>
    <w:pPr>
      <w:numPr>
        <w:numId w:val="5"/>
      </w:numPr>
    </w:pPr>
  </w:style>
  <w:style w:type="paragraph" w:styleId="ListNumber4">
    <w:name w:val="List Number 4"/>
    <w:basedOn w:val="List4"/>
    <w:rsid w:val="00B87F01"/>
    <w:pPr>
      <w:numPr>
        <w:numId w:val="6"/>
      </w:numPr>
    </w:pPr>
  </w:style>
  <w:style w:type="paragraph" w:styleId="ListNumber5">
    <w:name w:val="List Number 5"/>
    <w:basedOn w:val="List5"/>
    <w:rsid w:val="00B87F01"/>
    <w:pPr>
      <w:numPr>
        <w:numId w:val="7"/>
      </w:numPr>
    </w:pPr>
  </w:style>
  <w:style w:type="paragraph" w:styleId="BlockText">
    <w:name w:val="Block Text"/>
    <w:basedOn w:val="Normal"/>
    <w:rsid w:val="00B87F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7F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7F01"/>
    <w:rPr>
      <w:sz w:val="16"/>
      <w:vertAlign w:val="superscript"/>
    </w:rPr>
  </w:style>
  <w:style w:type="character" w:customStyle="1" w:styleId="Symbols">
    <w:name w:val="Symbols"/>
    <w:basedOn w:val="DefaultParagraphFont"/>
    <w:rsid w:val="00B87F01"/>
    <w:rPr>
      <w:rFonts w:ascii="Symbol" w:hAnsi="Symbol"/>
    </w:rPr>
  </w:style>
  <w:style w:type="character" w:customStyle="1" w:styleId="MenuOptions">
    <w:name w:val="Menu Options"/>
    <w:basedOn w:val="DefaultParagraphFont"/>
    <w:rsid w:val="00B87F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7F01"/>
    <w:rPr>
      <w:b/>
    </w:rPr>
  </w:style>
  <w:style w:type="character" w:customStyle="1" w:styleId="Underlined">
    <w:name w:val="Underlined"/>
    <w:basedOn w:val="DefaultParagraphFont"/>
    <w:rsid w:val="00B87F01"/>
    <w:rPr>
      <w:u w:val="single"/>
    </w:rPr>
  </w:style>
  <w:style w:type="paragraph" w:customStyle="1" w:styleId="TableBodyTextRight">
    <w:name w:val="Table Body Text Right"/>
    <w:basedOn w:val="TableBodyText"/>
    <w:rsid w:val="00B87F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7F01"/>
    <w:rPr>
      <w:sz w:val="18"/>
    </w:rPr>
  </w:style>
  <w:style w:type="paragraph" w:customStyle="1" w:styleId="BodySmallRight">
    <w:name w:val="Body Small Right"/>
    <w:basedOn w:val="BodyTextRight"/>
    <w:rsid w:val="00B87F01"/>
    <w:rPr>
      <w:sz w:val="18"/>
      <w:szCs w:val="18"/>
    </w:rPr>
  </w:style>
  <w:style w:type="paragraph" w:customStyle="1" w:styleId="MarginEdition">
    <w:name w:val="Margin Edition"/>
    <w:basedOn w:val="MarginNote"/>
    <w:rsid w:val="00B87F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7F01"/>
    <w:rPr>
      <w:sz w:val="2"/>
      <w:szCs w:val="2"/>
    </w:rPr>
  </w:style>
  <w:style w:type="character" w:customStyle="1" w:styleId="Small">
    <w:name w:val="Small"/>
    <w:basedOn w:val="DefaultParagraphFont"/>
    <w:rsid w:val="00B87F01"/>
    <w:rPr>
      <w:sz w:val="16"/>
    </w:rPr>
  </w:style>
  <w:style w:type="paragraph" w:customStyle="1" w:styleId="WideTable">
    <w:name w:val="Wide Table"/>
    <w:basedOn w:val="Normal"/>
    <w:rsid w:val="00B87F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7F01"/>
  </w:style>
  <w:style w:type="paragraph" w:styleId="Quote">
    <w:name w:val="Quote"/>
    <w:basedOn w:val="Heading1"/>
    <w:link w:val="QuoteChar"/>
    <w:qFormat/>
    <w:rsid w:val="00B87F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7F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7F01"/>
    <w:pPr>
      <w:pageBreakBefore/>
    </w:pPr>
  </w:style>
  <w:style w:type="paragraph" w:customStyle="1" w:styleId="Border">
    <w:name w:val="Border"/>
    <w:basedOn w:val="Normal"/>
    <w:qFormat/>
    <w:rsid w:val="00B87F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7F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F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F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7F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7F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7F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7F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7F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7F01"/>
    <w:rPr>
      <w:u w:val="single"/>
    </w:rPr>
  </w:style>
  <w:style w:type="character" w:customStyle="1" w:styleId="BoldandItalics">
    <w:name w:val="Bold and Italics"/>
    <w:qFormat/>
    <w:rsid w:val="00B87F01"/>
    <w:rPr>
      <w:b/>
      <w:i/>
      <w:u w:val="none"/>
    </w:rPr>
  </w:style>
  <w:style w:type="paragraph" w:styleId="BalloonText">
    <w:name w:val="Balloon Text"/>
    <w:basedOn w:val="Normal"/>
    <w:link w:val="BalloonTextChar"/>
    <w:rsid w:val="00B87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F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7F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7F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7F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7F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7F01"/>
    <w:pPr>
      <w:spacing w:before="0" w:after="0"/>
    </w:pPr>
  </w:style>
  <w:style w:type="paragraph" w:customStyle="1" w:styleId="BodyTextBold">
    <w:name w:val="Body Text Bold"/>
    <w:basedOn w:val="BodyText"/>
    <w:qFormat/>
    <w:rsid w:val="00B87F01"/>
    <w:rPr>
      <w:b/>
    </w:rPr>
  </w:style>
  <w:style w:type="character" w:styleId="Hyperlink">
    <w:name w:val="Hyperlink"/>
    <w:basedOn w:val="DefaultParagraphFont"/>
    <w:uiPriority w:val="99"/>
    <w:unhideWhenUsed/>
    <w:rsid w:val="001169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2564</Characters>
  <Application>Microsoft Office Word</Application>
  <DocSecurity>0</DocSecurity>
  <Lines>75</Lines>
  <Paragraphs>59</Paragraphs>
  <ScaleCrop>false</ScaleCrop>
  <Company>Author-it Software Corporation Ltd.</Company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CPCCBC4014 Prepare simple building sketches and drawings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2024-12-24T01:36:00Z</dcterms:created>
  <dcterms:modified xsi:type="dcterms:W3CDTF">2024-12-24T01:36:00Z</dcterms:modified>
</cp:coreProperties>
</file>