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51E" w:rsidP="00567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CPCCBC4013 Prepare and evaluate tender documentation</w:t>
      </w:r>
      <w:r>
        <w:fldChar w:fldCharType="end"/>
      </w:r>
    </w:p>
    <w:p w:rsidR="0056751E" w:rsidP="0056751E">
      <w:pPr>
        <w:pStyle w:val="Version"/>
        <w:sectPr w:rsidSect="001A2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2E13" w:rsidP="001A2E13">
      <w:pPr>
        <w:pStyle w:val="SuperHeading"/>
      </w:pPr>
      <w:r w:rsidRPr="001A2E13">
        <w:t>CPCCBC4013 Prepare and evaluate tender documentation</w:t>
      </w:r>
    </w:p>
    <w:p w:rsidR="00000000" w:rsidRPr="001A2E13" w:rsidP="001A2E13">
      <w:pPr>
        <w:pStyle w:val="Heading1"/>
      </w:pPr>
      <w:bookmarkStart w:id="1" w:name="O_1291808"/>
      <w:bookmarkEnd w:id="1"/>
      <w:r w:rsidRPr="001A2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Updated reference to general construction induction training program.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E13" w:rsidP="001A2E13">
            <w:pPr>
              <w:pStyle w:val="BodyText"/>
            </w:pPr>
            <w:r w:rsidRPr="001A2E13">
              <w:t>This version first released with CPC Construction, Plumbing and Services Training Package Release 5.0.</w:t>
            </w:r>
          </w:p>
          <w:p w:rsidR="00000000" w:rsidRPr="001A2E13" w:rsidP="001A2E13">
            <w:pPr>
              <w:pStyle w:val="BodyText"/>
            </w:pPr>
            <w:r w:rsidRPr="001A2E13">
              <w:t>Supersedes and is equiv</w:t>
            </w:r>
            <w:r w:rsidRPr="001A2E13">
              <w:t>alent to CPCCBC4013A Prepare and evaluate tender documentation.   Updated to meet the Standards for Training Packages 2012.</w:t>
            </w:r>
          </w:p>
        </w:tc>
      </w:tr>
    </w:tbl>
    <w:p w:rsidR="00000000" w:rsidRPr="001A2E13" w:rsidP="001A2E13">
      <w:pPr>
        <w:pStyle w:val="BodyText"/>
      </w:pP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2" w:name="O_1291807"/>
      <w:bookmarkEnd w:id="2"/>
      <w:r w:rsidRPr="001A2E13">
        <w:t>Application</w:t>
      </w:r>
    </w:p>
    <w:p w:rsidR="00000000" w:rsidRPr="001A2E13" w:rsidP="0056751E">
      <w:pPr>
        <w:pStyle w:val="BodyText"/>
      </w:pPr>
      <w:r w:rsidRPr="001A2E13">
        <w:t>This unit of competency specifies the skills and knowledge required to evaluate project and contrac</w:t>
      </w:r>
      <w:r w:rsidRPr="001A2E13">
        <w:t>t requirements and prepare and formalise tender documentation in the building and construction industry. It includes interpreting, compiling and documenting essential project information and demands into a final tender document.</w:t>
      </w:r>
    </w:p>
    <w:p w:rsidR="00000000" w:rsidRPr="001A2E13" w:rsidP="0056751E">
      <w:pPr>
        <w:pStyle w:val="BodyText"/>
      </w:pPr>
      <w:r w:rsidRPr="001A2E13">
        <w:t>It applies to builders, est</w:t>
      </w:r>
      <w:r w:rsidRPr="001A2E13">
        <w:t>imators and managers in the building and construction industry who have a responsibility for evaluating and preparing tenders for residential and commercial projects.</w:t>
      </w:r>
    </w:p>
    <w:p w:rsidR="00000000" w:rsidRPr="001A2E13" w:rsidP="0056751E">
      <w:pPr>
        <w:pStyle w:val="BodyText"/>
      </w:pPr>
      <w:r w:rsidRPr="001A2E13">
        <w:t>This unit of competency is suitable for those using specialised knowledge to complete rou</w:t>
      </w:r>
      <w:r w:rsidRPr="001A2E13">
        <w:t>tine and non-routine tasks and using their own judgement to deal with predictable and sometimes unpredictable problems.</w:t>
      </w:r>
    </w:p>
    <w:p w:rsidR="00000000" w:rsidRPr="001A2E13" w:rsidP="0056751E">
      <w:pPr>
        <w:pStyle w:val="BodyText"/>
      </w:pPr>
      <w:r w:rsidRPr="001A2E13">
        <w:t>Completion of the general construction induction training program specified by the model Code of Practice for Construction Work is requi</w:t>
      </w:r>
      <w:r w:rsidRPr="001A2E13">
        <w:t xml:space="preserve">red for any person who is to carry out construction work.  Achievement of </w:t>
      </w:r>
      <w:r w:rsidRPr="001A2E13">
        <w:rPr>
          <w:rStyle w:val="Emphasis"/>
        </w:rPr>
        <w:t xml:space="preserve">CPCWHS1001 Prepare to work safely in the construction industry </w:t>
      </w:r>
      <w:r w:rsidRPr="001A2E13">
        <w:t>meets this requirement.</w:t>
      </w:r>
    </w:p>
    <w:p w:rsidR="00000000" w:rsidRPr="001A2E13" w:rsidP="0056751E">
      <w:pPr>
        <w:pStyle w:val="BodyText"/>
      </w:pPr>
      <w:r w:rsidRPr="001A2E13">
        <w:t>No licensing, legislative or certification requirements apply to this unit at the time of publi</w:t>
      </w:r>
      <w:r w:rsidRPr="001A2E13">
        <w:t>cation.</w:t>
      </w:r>
    </w:p>
    <w:p w:rsidR="00000000" w:rsidRPr="001A2E13" w:rsidP="001A2E13">
      <w:pPr>
        <w:pStyle w:val="Heading1"/>
      </w:pPr>
      <w:bookmarkStart w:id="3" w:name="O_1291806"/>
      <w:bookmarkEnd w:id="3"/>
      <w:r w:rsidRPr="001A2E13">
        <w:t>Pre-requisite Unit</w:t>
      </w:r>
    </w:p>
    <w:p w:rsidR="00000000" w:rsidRPr="001A2E13" w:rsidP="0056751E">
      <w:pPr>
        <w:pStyle w:val="BodyText"/>
      </w:pPr>
      <w:r w:rsidRPr="001A2E13">
        <w:t>Nil.</w:t>
      </w:r>
    </w:p>
    <w:p w:rsidR="00000000" w:rsidRPr="001A2E13" w:rsidP="001A2E13">
      <w:pPr>
        <w:pStyle w:val="Heading1"/>
      </w:pPr>
      <w:bookmarkStart w:id="4" w:name="O_1291805"/>
      <w:bookmarkEnd w:id="4"/>
      <w:r w:rsidRPr="001A2E13">
        <w:t>Unit Sector</w:t>
      </w:r>
    </w:p>
    <w:p w:rsidR="00000000" w:rsidRPr="001A2E13" w:rsidP="0056751E">
      <w:pPr>
        <w:pStyle w:val="BodyText"/>
      </w:pPr>
      <w:r w:rsidRPr="001A2E13">
        <w:t>Building and Construction</w:t>
      </w:r>
    </w:p>
    <w:p w:rsidR="00000000" w:rsidRPr="001A2E13" w:rsidP="001A2E13">
      <w:pPr>
        <w:pStyle w:val="Heading1"/>
      </w:pPr>
      <w:bookmarkStart w:id="5" w:name="O_1291804"/>
      <w:bookmarkEnd w:id="5"/>
      <w:r w:rsidRPr="001A2E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Performance criteria describe what needs to be done to demonstrate achievement of the element.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Research project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Gather relevant information for tender preparation from current and approved project plans, specifications and project doc</w:t>
            </w:r>
            <w:r w:rsidRPr="001A2E13">
              <w:t>umentation.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Select appropriate contracts and tender documents.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Identify and record risks during evaluation of contracts and tender documents.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Prepare tender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Collate all information for tender preparation and check for accuracy.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Prepare tender documentation to correspond with selected contracts and organisational processes and procedures.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Attach supporting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Select and accurately complete relevant documentation required to submit with the tender.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Attach vital information, drawings, specifications or other supporting   evidence to the tender document.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Prepare and attach client acceptance forms and any amendments and conditions to the tender or contract.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Obtain tender approval or endorsement.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Conduct final evaluation of completed tender documentation.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Complete appropriate client contract for the project.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E13" w:rsidP="001A2E13">
            <w:pPr>
              <w:pStyle w:val="BodyText"/>
            </w:pPr>
            <w:r w:rsidRPr="001A2E13">
              <w:t>Provide tender documentation to the appropriate staff member for approval or endorsement.</w:t>
            </w:r>
          </w:p>
        </w:tc>
      </w:tr>
    </w:tbl>
    <w:p w:rsidR="00000000" w:rsidRPr="001A2E13" w:rsidP="001A2E13">
      <w:pPr>
        <w:pStyle w:val="BodyText"/>
      </w:pP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6" w:name="O_1291803"/>
      <w:bookmarkEnd w:id="6"/>
      <w:r w:rsidRPr="001A2E13">
        <w:t>Foundation Skills</w:t>
      </w:r>
    </w:p>
    <w:p w:rsidR="00000000" w:rsidRPr="001A2E13" w:rsidP="0056751E">
      <w:pPr>
        <w:pStyle w:val="BodyText"/>
      </w:pPr>
      <w:r w:rsidRPr="001A2E13">
        <w:t xml:space="preserve">As well as the foundation skills explicit in the performance criteria of this unit, candidates require: </w:t>
      </w:r>
    </w:p>
    <w:p w:rsidR="00000000" w:rsidRPr="001A2E13" w:rsidP="001A2E13">
      <w:pPr>
        <w:pStyle w:val="ListBullet"/>
      </w:pPr>
      <w:r w:rsidRPr="001A2E13">
        <w:t>reading skills to:</w:t>
      </w:r>
    </w:p>
    <w:p w:rsidR="00000000" w:rsidRPr="001A2E13" w:rsidP="001A2E13">
      <w:pPr>
        <w:pStyle w:val="ListBullet2"/>
      </w:pPr>
      <w:r w:rsidRPr="001A2E13">
        <w:t>extract and comprehend relevant information from complex document text</w:t>
      </w:r>
    </w:p>
    <w:p w:rsidR="00000000" w:rsidRPr="001A2E13" w:rsidP="001A2E13">
      <w:pPr>
        <w:pStyle w:val="ListBullet"/>
      </w:pPr>
      <w:r w:rsidRPr="001A2E13">
        <w:t>technology skills to:</w:t>
      </w:r>
    </w:p>
    <w:p w:rsidR="00000000" w:rsidRPr="001A2E13" w:rsidP="001A2E13">
      <w:pPr>
        <w:pStyle w:val="ListBullet2"/>
      </w:pPr>
      <w:r w:rsidRPr="001A2E13">
        <w:t>use tools and devices to communicate and collaborate effectively with others</w:t>
      </w:r>
    </w:p>
    <w:p w:rsidR="00000000" w:rsidRPr="001A2E13" w:rsidP="001A2E13">
      <w:pPr>
        <w:pStyle w:val="ListBullet2"/>
      </w:pPr>
      <w:r w:rsidRPr="001A2E13">
        <w:t>use equipment and programs to access and extract information and develop relevant documentation.</w:t>
      </w: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7" w:name="O_1291802"/>
      <w:bookmarkEnd w:id="7"/>
      <w:r w:rsidRPr="001A2E13">
        <w:t>Unit Mapping Information</w:t>
      </w:r>
    </w:p>
    <w:p w:rsidR="00000000" w:rsidRPr="001A2E13" w:rsidP="0056751E">
      <w:pPr>
        <w:pStyle w:val="BodyText"/>
      </w:pPr>
      <w:r w:rsidRPr="001A2E13">
        <w:t>Supersedes and is equivalent to CPCCBC</w:t>
      </w:r>
      <w:r w:rsidRPr="001A2E13">
        <w:t>4013A Prepare and evaluate tender documentation</w:t>
      </w:r>
    </w:p>
    <w:p w:rsidR="00000000" w:rsidRPr="001A2E13" w:rsidP="001A2E13">
      <w:pPr>
        <w:pStyle w:val="Heading1"/>
      </w:pPr>
      <w:bookmarkStart w:id="8" w:name="O_1291809"/>
      <w:bookmarkEnd w:id="8"/>
      <w:r w:rsidRPr="001A2E13">
        <w:t>Links</w:t>
      </w:r>
    </w:p>
    <w:p w:rsidR="00000000" w:rsidRPr="001A2E13" w:rsidP="0056751E">
      <w:pPr>
        <w:pStyle w:val="BodyText"/>
      </w:pPr>
      <w:r w:rsidRPr="001A2E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71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2E13" w:rsidP="0056751E">
      <w:pPr>
        <w:pStyle w:val="BodyText"/>
        <w:sectPr w:rsidSect="001A2E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2E13" w:rsidP="001A2E13">
      <w:pPr>
        <w:pStyle w:val="SuperHeading"/>
      </w:pPr>
      <w:r w:rsidRPr="001A2E13">
        <w:t>Assessment Requirements for CPCCBC4013 Prepare and evaluate tender documentation</w:t>
      </w:r>
    </w:p>
    <w:p w:rsidR="00000000" w:rsidRPr="001A2E13" w:rsidP="001A2E13">
      <w:pPr>
        <w:pStyle w:val="Heading1"/>
      </w:pPr>
      <w:bookmarkStart w:id="9" w:name="O_1291800"/>
      <w:bookmarkEnd w:id="9"/>
      <w:r w:rsidRPr="001A2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Updated reference to general construction induction training program.</w:t>
            </w:r>
          </w:p>
        </w:tc>
      </w:tr>
      <w:tr w:rsidTr="001A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3">
            <w:pPr>
              <w:pStyle w:val="BodyText"/>
              <w:rPr>
                <w:lang w:val="en-NZ"/>
              </w:rPr>
            </w:pPr>
            <w:r w:rsidRPr="001A2E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E13" w:rsidP="001A2E13">
            <w:pPr>
              <w:pStyle w:val="BodyText"/>
            </w:pPr>
            <w:r w:rsidRPr="001A2E13">
              <w:t>This version first released with CPC Construction, Plumbing and Services Training Package Release 5.0.</w:t>
            </w:r>
          </w:p>
          <w:p w:rsidR="00000000" w:rsidRPr="001A2E13" w:rsidP="001A2E13">
            <w:pPr>
              <w:pStyle w:val="BodyText"/>
            </w:pPr>
            <w:r w:rsidRPr="001A2E13">
              <w:t>Supersedes and is equivalent to CPCCBC4013A Prepare and evaluate tender documentation.   Updated to meet the Standards for Training Packages 2012.</w:t>
            </w:r>
          </w:p>
        </w:tc>
      </w:tr>
    </w:tbl>
    <w:p w:rsidR="00000000" w:rsidRPr="001A2E13" w:rsidP="001A2E13">
      <w:pPr>
        <w:pStyle w:val="BodyText"/>
      </w:pP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10" w:name="O_1291799"/>
      <w:bookmarkEnd w:id="10"/>
      <w:r w:rsidRPr="001A2E13">
        <w:t>Performance Evidence</w:t>
      </w:r>
    </w:p>
    <w:p w:rsidR="00000000" w:rsidRPr="001A2E13" w:rsidP="0056751E">
      <w:pPr>
        <w:pStyle w:val="BodyText"/>
      </w:pPr>
      <w:r w:rsidRPr="001A2E13">
        <w:t>To demonstrate competency, a candidate must meet the elements and performance criteria of this unit by preparing tender documents for two contracts, with one being for a residential project and one for a commercial proj</w:t>
      </w:r>
      <w:r w:rsidRPr="001A2E13">
        <w:t>ect.</w:t>
      </w:r>
    </w:p>
    <w:p w:rsidR="00000000" w:rsidRPr="001A2E13" w:rsidP="0056751E">
      <w:pPr>
        <w:pStyle w:val="BodyText"/>
      </w:pPr>
      <w:r w:rsidRPr="001A2E13">
        <w:t>In doing this, the candidate must:</w:t>
      </w:r>
    </w:p>
    <w:p w:rsidR="00000000" w:rsidRPr="001A2E13" w:rsidP="001A2E13">
      <w:pPr>
        <w:pStyle w:val="ListBullet"/>
      </w:pPr>
      <w:r w:rsidRPr="001A2E13">
        <w:t xml:space="preserve">source and check relevant plans, specifications and tender documentation for currency and amendments </w:t>
      </w:r>
    </w:p>
    <w:p w:rsidR="00000000" w:rsidRPr="001A2E13" w:rsidP="001A2E13">
      <w:pPr>
        <w:pStyle w:val="ListBullet"/>
      </w:pPr>
      <w:r w:rsidRPr="001A2E13">
        <w:t>evaluate risk associated with the tender process.</w:t>
      </w: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11" w:name="O_1291798"/>
      <w:bookmarkEnd w:id="11"/>
      <w:r w:rsidRPr="001A2E13">
        <w:t>Knowledge Evidence</w:t>
      </w:r>
    </w:p>
    <w:p w:rsidR="00000000" w:rsidRPr="001A2E13" w:rsidP="0056751E">
      <w:pPr>
        <w:pStyle w:val="BodyText"/>
      </w:pPr>
      <w:r w:rsidRPr="001A2E13">
        <w:t>To be competent in this unit, a candidate must demonstrate knowledge of:</w:t>
      </w:r>
    </w:p>
    <w:p w:rsidR="00000000" w:rsidRPr="001A2E13" w:rsidP="001A2E13">
      <w:pPr>
        <w:pStyle w:val="ListBullet"/>
      </w:pPr>
      <w:r w:rsidRPr="001A2E13">
        <w:t xml:space="preserve">relevant government building and construction regulations, codes and standards </w:t>
      </w:r>
    </w:p>
    <w:p w:rsidR="00000000" w:rsidRPr="001A2E13" w:rsidP="001A2E13">
      <w:pPr>
        <w:pStyle w:val="ListBullet"/>
      </w:pPr>
      <w:r w:rsidRPr="001A2E13">
        <w:t>structure and operations of the organisation</w:t>
      </w:r>
      <w:r>
        <w:t>’</w:t>
      </w:r>
      <w:r w:rsidRPr="001A2E13">
        <w:t>s costing, tendering and contracting system</w:t>
      </w:r>
    </w:p>
    <w:p w:rsidR="00000000" w:rsidRPr="001A2E13" w:rsidP="001A2E13">
      <w:pPr>
        <w:pStyle w:val="ListBullet"/>
      </w:pPr>
      <w:r w:rsidRPr="001A2E13">
        <w:t>tender docume</w:t>
      </w:r>
      <w:r w:rsidRPr="001A2E13">
        <w:t>nts and supporting documentation:</w:t>
      </w:r>
    </w:p>
    <w:p w:rsidR="00000000" w:rsidRPr="001A2E13" w:rsidP="001A2E13">
      <w:pPr>
        <w:pStyle w:val="ListBullet2"/>
      </w:pPr>
      <w:r w:rsidRPr="001A2E13">
        <w:t>artist’s impressions</w:t>
      </w:r>
    </w:p>
    <w:p w:rsidR="00000000" w:rsidRPr="001A2E13" w:rsidP="001A2E13">
      <w:pPr>
        <w:pStyle w:val="ListBullet2"/>
      </w:pPr>
      <w:r w:rsidRPr="001A2E13">
        <w:t>building information modelling (BIM)</w:t>
      </w:r>
    </w:p>
    <w:p w:rsidR="00000000" w:rsidRPr="001A2E13" w:rsidP="001A2E13">
      <w:pPr>
        <w:pStyle w:val="ListBullet2"/>
      </w:pPr>
      <w:r w:rsidRPr="001A2E13">
        <w:t>product information</w:t>
      </w:r>
    </w:p>
    <w:p w:rsidR="00000000" w:rsidRPr="001A2E13" w:rsidP="001A2E13">
      <w:pPr>
        <w:pStyle w:val="ListBullet2"/>
      </w:pPr>
      <w:r w:rsidRPr="001A2E13">
        <w:t>promotional materials</w:t>
      </w:r>
    </w:p>
    <w:p w:rsidR="00000000" w:rsidRPr="001A2E13" w:rsidP="001A2E13">
      <w:pPr>
        <w:pStyle w:val="ListBullet2"/>
      </w:pPr>
      <w:r w:rsidRPr="001A2E13">
        <w:t>reports and findings beneficial to the organisation</w:t>
      </w:r>
    </w:p>
    <w:p w:rsidR="00000000" w:rsidRPr="001A2E13" w:rsidP="001A2E13">
      <w:pPr>
        <w:pStyle w:val="ListBullet"/>
      </w:pPr>
      <w:r w:rsidRPr="001A2E13">
        <w:t>project risks associated with tendering:</w:t>
      </w:r>
    </w:p>
    <w:p w:rsidR="00000000" w:rsidRPr="001A2E13" w:rsidP="001A2E13">
      <w:pPr>
        <w:pStyle w:val="ListBullet2"/>
      </w:pPr>
      <w:r w:rsidRPr="001A2E13">
        <w:t>breach of contract</w:t>
      </w:r>
    </w:p>
    <w:p w:rsidR="00000000" w:rsidRPr="001A2E13" w:rsidP="001A2E13">
      <w:pPr>
        <w:pStyle w:val="ListBullet2"/>
      </w:pPr>
      <w:r w:rsidRPr="001A2E13">
        <w:t>project delays</w:t>
      </w:r>
    </w:p>
    <w:p w:rsidR="00000000" w:rsidRPr="001A2E13" w:rsidP="001A2E13">
      <w:pPr>
        <w:pStyle w:val="ListBullet2"/>
      </w:pPr>
      <w:r w:rsidRPr="001A2E13">
        <w:t>payment disputes</w:t>
      </w:r>
    </w:p>
    <w:p w:rsidR="00000000" w:rsidRPr="001A2E13" w:rsidP="001A2E13">
      <w:pPr>
        <w:pStyle w:val="ListBullet2"/>
      </w:pPr>
      <w:r w:rsidRPr="001A2E13">
        <w:t xml:space="preserve">delays in progress payments </w:t>
      </w:r>
    </w:p>
    <w:p w:rsidR="00000000" w:rsidRPr="001A2E13" w:rsidP="001A2E13">
      <w:pPr>
        <w:pStyle w:val="ListBullet2"/>
      </w:pPr>
      <w:r w:rsidRPr="001A2E13">
        <w:t>circumstances, such as:</w:t>
      </w:r>
    </w:p>
    <w:p w:rsidR="00000000" w:rsidRPr="001A2E13" w:rsidP="001A2E13">
      <w:pPr>
        <w:pStyle w:val="ListBullet3"/>
      </w:pPr>
      <w:r w:rsidRPr="001A2E13">
        <w:t>delivery delays that extend project completion dates</w:t>
      </w:r>
    </w:p>
    <w:p w:rsidR="00000000" w:rsidRPr="001A2E13" w:rsidP="001A2E13">
      <w:pPr>
        <w:pStyle w:val="ListBullet3"/>
      </w:pPr>
      <w:r w:rsidRPr="001A2E13">
        <w:t>labour shortages</w:t>
      </w:r>
    </w:p>
    <w:p w:rsidR="00000000" w:rsidRPr="001A2E13" w:rsidP="001A2E13">
      <w:pPr>
        <w:pStyle w:val="ListBullet3"/>
      </w:pPr>
      <w:r w:rsidRPr="001A2E13">
        <w:t>weather</w:t>
      </w:r>
    </w:p>
    <w:p w:rsidR="00000000" w:rsidRPr="001A2E13" w:rsidP="001A2E13">
      <w:pPr>
        <w:pStyle w:val="ListBullet3"/>
      </w:pPr>
      <w:r w:rsidRPr="001A2E13">
        <w:t>exposure through clauses that work against the organisation</w:t>
      </w:r>
    </w:p>
    <w:p w:rsidR="00000000" w:rsidRPr="001A2E13" w:rsidP="001A2E13">
      <w:pPr>
        <w:pStyle w:val="ListBullet3"/>
      </w:pPr>
      <w:r w:rsidRPr="001A2E13">
        <w:t>failure to adequately anticipate labour or materials costs</w:t>
      </w:r>
    </w:p>
    <w:p w:rsidR="00000000" w:rsidRPr="001A2E13" w:rsidP="001A2E13">
      <w:pPr>
        <w:pStyle w:val="ListBullet3"/>
      </w:pPr>
      <w:r w:rsidRPr="001A2E13">
        <w:t>inappropriate funding levels and funding shortfalls</w:t>
      </w:r>
    </w:p>
    <w:p w:rsidR="00000000" w:rsidRPr="001A2E13" w:rsidP="001A2E13">
      <w:pPr>
        <w:pStyle w:val="ListBullet3"/>
      </w:pPr>
      <w:r w:rsidRPr="001A2E13">
        <w:t>industrial disputes through misunderstandings or overt action</w:t>
      </w:r>
    </w:p>
    <w:p w:rsidR="00000000" w:rsidRPr="001A2E13" w:rsidP="001A2E13">
      <w:pPr>
        <w:pStyle w:val="ListBullet3"/>
      </w:pPr>
      <w:r w:rsidRPr="001A2E13">
        <w:t>risk of default or non-performance of key players</w:t>
      </w:r>
    </w:p>
    <w:p w:rsidR="00000000" w:rsidRPr="001A2E13" w:rsidP="001A2E13">
      <w:pPr>
        <w:pStyle w:val="ListBullet"/>
      </w:pPr>
      <w:r w:rsidRPr="001A2E13">
        <w:t>types of building and constructi</w:t>
      </w:r>
      <w:r w:rsidRPr="001A2E13">
        <w:t>on drawings and specifications</w:t>
      </w:r>
    </w:p>
    <w:p w:rsidR="00000000" w:rsidRPr="001A2E13" w:rsidP="001A2E13">
      <w:pPr>
        <w:pStyle w:val="ListBullet"/>
      </w:pPr>
      <w:r w:rsidRPr="001A2E13">
        <w:t>types, scope and usage of labour through the employee and subcontractor systems</w:t>
      </w:r>
    </w:p>
    <w:p w:rsidR="00000000" w:rsidRPr="001A2E13" w:rsidP="001A2E13">
      <w:pPr>
        <w:pStyle w:val="ListBullet"/>
      </w:pPr>
      <w:r w:rsidRPr="001A2E13">
        <w:t>using appropriate costing software programs.</w:t>
      </w: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12" w:name="O_1291797"/>
      <w:bookmarkEnd w:id="12"/>
      <w:r w:rsidRPr="001A2E13">
        <w:t>Assessment Conditions</w:t>
      </w:r>
    </w:p>
    <w:p w:rsidR="00000000" w:rsidRPr="001A2E13" w:rsidP="0056751E">
      <w:pPr>
        <w:pStyle w:val="BodyText"/>
      </w:pPr>
      <w:r w:rsidRPr="001A2E13">
        <w:t xml:space="preserve">Assessors must meet the requirements for assessors contained in the Standards for Registered Training Organisations. </w:t>
      </w:r>
    </w:p>
    <w:p w:rsidR="00000000" w:rsidRPr="001A2E13" w:rsidP="0056751E">
      <w:pPr>
        <w:pStyle w:val="BodyText"/>
      </w:pPr>
      <w:r w:rsidRPr="001A2E13">
        <w:t xml:space="preserve">Assessment can be undertaken in the workplace or in a simulated workplace environment. </w:t>
      </w:r>
    </w:p>
    <w:p w:rsidR="00000000" w:rsidRPr="001A2E13" w:rsidP="0056751E">
      <w:pPr>
        <w:pStyle w:val="BodyText"/>
      </w:pPr>
      <w:r w:rsidRPr="001A2E13">
        <w:t xml:space="preserve">A simulated environment is one that realistically </w:t>
      </w:r>
      <w:r w:rsidRPr="001A2E13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1A2E13" w:rsidP="0056751E">
      <w:pPr>
        <w:pStyle w:val="BodyText"/>
      </w:pPr>
      <w:r w:rsidRPr="001A2E13">
        <w:t>Candidates must have access to:</w:t>
      </w:r>
    </w:p>
    <w:p w:rsidR="00000000" w:rsidRPr="001A2E13" w:rsidP="001A2E13">
      <w:pPr>
        <w:pStyle w:val="ListBullet"/>
      </w:pPr>
      <w:r w:rsidRPr="001A2E13">
        <w:t>current relevant government legis</w:t>
      </w:r>
      <w:r w:rsidRPr="001A2E13">
        <w:t>lation</w:t>
      </w:r>
    </w:p>
    <w:p w:rsidR="00000000" w:rsidRPr="001A2E13" w:rsidP="001A2E13">
      <w:pPr>
        <w:pStyle w:val="ListBullet"/>
      </w:pPr>
      <w:r w:rsidRPr="001A2E13">
        <w:t>current relevant building and construction codes and standards</w:t>
      </w:r>
    </w:p>
    <w:p w:rsidR="00000000" w:rsidRPr="001A2E13" w:rsidP="001A2E13">
      <w:pPr>
        <w:pStyle w:val="ListBullet"/>
      </w:pPr>
      <w:r w:rsidRPr="001A2E13">
        <w:t xml:space="preserve">construction contracts and associated tender documentation </w:t>
      </w:r>
    </w:p>
    <w:p w:rsidR="00000000" w:rsidRPr="001A2E13" w:rsidP="001A2E13">
      <w:pPr>
        <w:pStyle w:val="ListBullet"/>
      </w:pPr>
      <w:r w:rsidRPr="001A2E13">
        <w:t>organisational policies, procedures and other quality documentation to undertake the performance criteria and evidence require</w:t>
      </w:r>
      <w:r w:rsidRPr="001A2E13">
        <w:t>ments</w:t>
      </w:r>
    </w:p>
    <w:p w:rsidR="00000000" w:rsidRPr="001A2E13" w:rsidP="001A2E13">
      <w:pPr>
        <w:pStyle w:val="ListBullet"/>
      </w:pPr>
      <w:r w:rsidRPr="001A2E13">
        <w:t>business technology, applications and software to produce tender documentation.</w:t>
      </w:r>
    </w:p>
    <w:p w:rsidR="00000000" w:rsidRPr="001A2E13" w:rsidP="001A2E13">
      <w:pPr>
        <w:pStyle w:val="AllowPageBreak"/>
      </w:pPr>
    </w:p>
    <w:p w:rsidR="00000000" w:rsidRPr="001A2E13" w:rsidP="001A2E13">
      <w:pPr>
        <w:pStyle w:val="Heading1"/>
      </w:pPr>
      <w:bookmarkStart w:id="13" w:name="O_1291810"/>
      <w:bookmarkEnd w:id="13"/>
      <w:r w:rsidRPr="001A2E13">
        <w:t>Links</w:t>
      </w:r>
    </w:p>
    <w:p w:rsidR="00000000" w:rsidRPr="001A2E13" w:rsidP="0056751E">
      <w:pPr>
        <w:pStyle w:val="BodyText"/>
      </w:pPr>
      <w:r w:rsidRPr="001A2E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71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2E13" w:rsidP="001A2E13"/>
    <w:sectPr w:rsidSect="001A2E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 w:rsidRPr="0056751E" w:rsidP="00567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1E" w:rsidP="001A2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51E" w:rsidP="001A2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751E" w:rsidP="001A2E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 w:rsidP="001A2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751E">
      <w:t>Approved</w:t>
    </w:r>
    <w:r w:rsidR="005675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75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51E">
      <w:rPr>
        <w:noProof/>
      </w:rPr>
      <w:t>4</w:t>
    </w:r>
    <w:r>
      <w:rPr>
        <w:noProof/>
      </w:rPr>
      <w:fldChar w:fldCharType="end"/>
    </w:r>
  </w:p>
  <w:p w:rsidR="001A2E13" w:rsidP="001A2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75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751E">
      <w:t>BuildSkills Australia</w:t>
    </w:r>
    <w:r w:rsidR="0056751E">
      <w:fldChar w:fldCharType="end"/>
    </w:r>
  </w:p>
  <w:p w:rsidR="001A2E13" w:rsidP="001A2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E13" w:rsidRPr="0056751E" w:rsidP="00567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51E" w:rsidRPr="002D2AF8" w:rsidP="001A2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CPCCBC4013 Prepare and evaluate tender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751E" w:rsidP="001A2E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3" w:rsidRPr="002D2AF8" w:rsidP="001A2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751E">
      <w:t>CPCCBC4013 Prepare and evaluate tender documentation</w:t>
    </w:r>
    <w:r w:rsidR="005675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751E">
      <w:rPr>
        <w:noProof/>
      </w:rPr>
      <w:t>2 March 2025</w:t>
    </w:r>
    <w:r>
      <w:fldChar w:fldCharType="end"/>
    </w:r>
  </w:p>
  <w:p w:rsidR="001A2E13" w:rsidP="001A2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7C0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CC9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80F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E13"/>
  </w:style>
  <w:style w:type="character" w:customStyle="1" w:styleId="Heading1Char">
    <w:name w:val="Heading 1 Char"/>
    <w:basedOn w:val="DefaultParagraphFont"/>
    <w:link w:val="Heading1"/>
    <w:rsid w:val="001A2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E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E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2E13"/>
    <w:rPr>
      <w:i/>
    </w:rPr>
  </w:style>
  <w:style w:type="paragraph" w:customStyle="1" w:styleId="SuperHeading">
    <w:name w:val="SuperHeading"/>
    <w:basedOn w:val="Normal"/>
    <w:rsid w:val="001A2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2E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2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E13"/>
    <w:rPr>
      <w:b/>
      <w:spacing w:val="0"/>
    </w:rPr>
  </w:style>
  <w:style w:type="paragraph" w:customStyle="1" w:styleId="SuperTitle">
    <w:name w:val="SuperTitle"/>
    <w:basedOn w:val="Title"/>
    <w:rsid w:val="001A2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E13"/>
  </w:style>
  <w:style w:type="paragraph" w:styleId="TableofFigures">
    <w:name w:val="table of figures"/>
    <w:basedOn w:val="Normal"/>
    <w:next w:val="Normal"/>
    <w:semiHidden/>
    <w:rsid w:val="001A2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E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2E13"/>
    <w:rPr>
      <w:rFonts w:ascii="Wingdings" w:hAnsi="Wingdings"/>
    </w:rPr>
  </w:style>
  <w:style w:type="paragraph" w:customStyle="1" w:styleId="TableHeading">
    <w:name w:val="Table Heading"/>
    <w:basedOn w:val="HeadingBase"/>
    <w:rsid w:val="001A2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E13"/>
    <w:rPr>
      <w:color w:val="0033CC"/>
      <w:u w:val="none"/>
    </w:rPr>
  </w:style>
  <w:style w:type="paragraph" w:customStyle="1" w:styleId="BodyTextRight">
    <w:name w:val="Body Text Right"/>
    <w:basedOn w:val="BodyText"/>
    <w:rsid w:val="001A2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E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E13"/>
    <w:rPr>
      <w:sz w:val="32"/>
    </w:rPr>
  </w:style>
  <w:style w:type="paragraph" w:customStyle="1" w:styleId="HeadingProcedure">
    <w:name w:val="Heading Procedure"/>
    <w:basedOn w:val="HeadingBase"/>
    <w:next w:val="Normal"/>
    <w:rsid w:val="001A2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E13"/>
    <w:pPr>
      <w:spacing w:before="60" w:after="60"/>
    </w:pPr>
  </w:style>
  <w:style w:type="paragraph" w:styleId="ListContinue">
    <w:name w:val="List Continue"/>
    <w:basedOn w:val="List"/>
    <w:rsid w:val="001A2E13"/>
    <w:pPr>
      <w:ind w:firstLine="0"/>
    </w:pPr>
  </w:style>
  <w:style w:type="paragraph" w:customStyle="1" w:styleId="ListNote">
    <w:name w:val="List Note"/>
    <w:basedOn w:val="List"/>
    <w:rsid w:val="001A2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E13"/>
    <w:rPr>
      <w:rFonts w:ascii="Courier New" w:hAnsi="Courier New"/>
    </w:rPr>
  </w:style>
  <w:style w:type="paragraph" w:customStyle="1" w:styleId="NoteBullet">
    <w:name w:val="Note Bullet"/>
    <w:basedOn w:val="Note"/>
    <w:rsid w:val="001A2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E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2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E13"/>
    <w:rPr>
      <w:b/>
      <w:smallCaps/>
    </w:rPr>
  </w:style>
  <w:style w:type="paragraph" w:customStyle="1" w:styleId="TableListNumber">
    <w:name w:val="Table List Number"/>
    <w:basedOn w:val="ListNumber"/>
    <w:rsid w:val="001A2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E13"/>
    <w:pPr>
      <w:numPr>
        <w:numId w:val="10"/>
      </w:numPr>
    </w:pPr>
  </w:style>
  <w:style w:type="paragraph" w:customStyle="1" w:styleId="ListAlpha2">
    <w:name w:val="List Alpha 2"/>
    <w:basedOn w:val="List2"/>
    <w:rsid w:val="001A2E13"/>
    <w:pPr>
      <w:numPr>
        <w:numId w:val="9"/>
      </w:numPr>
    </w:pPr>
  </w:style>
  <w:style w:type="paragraph" w:styleId="List2">
    <w:name w:val="List 2"/>
    <w:basedOn w:val="BodyText"/>
    <w:rsid w:val="001A2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E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2E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2E13"/>
    <w:pPr>
      <w:numPr>
        <w:numId w:val="5"/>
      </w:numPr>
    </w:pPr>
  </w:style>
  <w:style w:type="paragraph" w:styleId="ListContinue2">
    <w:name w:val="List Continue 2"/>
    <w:basedOn w:val="List2"/>
    <w:rsid w:val="001A2E13"/>
    <w:pPr>
      <w:ind w:firstLine="0"/>
    </w:pPr>
  </w:style>
  <w:style w:type="paragraph" w:styleId="ListContinue3">
    <w:name w:val="List Continue 3"/>
    <w:basedOn w:val="List3"/>
    <w:rsid w:val="001A2E13"/>
    <w:pPr>
      <w:ind w:left="1021" w:firstLine="0"/>
    </w:pPr>
  </w:style>
  <w:style w:type="paragraph" w:styleId="ListContinue4">
    <w:name w:val="List Continue 4"/>
    <w:basedOn w:val="List4"/>
    <w:rsid w:val="001A2E13"/>
    <w:pPr>
      <w:ind w:firstLine="0"/>
    </w:pPr>
  </w:style>
  <w:style w:type="paragraph" w:styleId="ListContinue5">
    <w:name w:val="List Continue 5"/>
    <w:basedOn w:val="List5"/>
    <w:rsid w:val="001A2E13"/>
    <w:pPr>
      <w:ind w:firstLine="0"/>
    </w:pPr>
  </w:style>
  <w:style w:type="paragraph" w:styleId="ListNumber3">
    <w:name w:val="List Number 3"/>
    <w:basedOn w:val="List3"/>
    <w:rsid w:val="001A2E13"/>
    <w:pPr>
      <w:numPr>
        <w:numId w:val="6"/>
      </w:numPr>
    </w:pPr>
  </w:style>
  <w:style w:type="paragraph" w:styleId="ListNumber4">
    <w:name w:val="List Number 4"/>
    <w:basedOn w:val="List4"/>
    <w:rsid w:val="001A2E13"/>
    <w:pPr>
      <w:numPr>
        <w:numId w:val="7"/>
      </w:numPr>
    </w:pPr>
  </w:style>
  <w:style w:type="paragraph" w:styleId="ListNumber5">
    <w:name w:val="List Number 5"/>
    <w:basedOn w:val="List5"/>
    <w:rsid w:val="001A2E13"/>
    <w:pPr>
      <w:numPr>
        <w:numId w:val="8"/>
      </w:numPr>
    </w:pPr>
  </w:style>
  <w:style w:type="paragraph" w:styleId="BlockText">
    <w:name w:val="Block Text"/>
    <w:basedOn w:val="Normal"/>
    <w:rsid w:val="001A2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E13"/>
    <w:rPr>
      <w:sz w:val="16"/>
      <w:vertAlign w:val="superscript"/>
    </w:rPr>
  </w:style>
  <w:style w:type="character" w:customStyle="1" w:styleId="Symbols">
    <w:name w:val="Symbols"/>
    <w:basedOn w:val="DefaultParagraphFont"/>
    <w:rsid w:val="001A2E13"/>
    <w:rPr>
      <w:rFonts w:ascii="Symbol" w:hAnsi="Symbol"/>
    </w:rPr>
  </w:style>
  <w:style w:type="character" w:customStyle="1" w:styleId="MenuOptions">
    <w:name w:val="Menu Options"/>
    <w:basedOn w:val="DefaultParagraphFont"/>
    <w:rsid w:val="001A2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E13"/>
    <w:rPr>
      <w:b/>
    </w:rPr>
  </w:style>
  <w:style w:type="character" w:customStyle="1" w:styleId="Underlined">
    <w:name w:val="Underlined"/>
    <w:basedOn w:val="DefaultParagraphFont"/>
    <w:rsid w:val="001A2E13"/>
    <w:rPr>
      <w:u w:val="single"/>
    </w:rPr>
  </w:style>
  <w:style w:type="paragraph" w:customStyle="1" w:styleId="TableBodyTextRight">
    <w:name w:val="Table Body Text Right"/>
    <w:basedOn w:val="TableBodyText"/>
    <w:rsid w:val="001A2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E13"/>
    <w:rPr>
      <w:sz w:val="18"/>
    </w:rPr>
  </w:style>
  <w:style w:type="paragraph" w:customStyle="1" w:styleId="BodySmallRight">
    <w:name w:val="Body Small Right"/>
    <w:basedOn w:val="BodyTextRight"/>
    <w:rsid w:val="001A2E13"/>
    <w:rPr>
      <w:sz w:val="18"/>
      <w:szCs w:val="18"/>
    </w:rPr>
  </w:style>
  <w:style w:type="paragraph" w:customStyle="1" w:styleId="MarginEdition">
    <w:name w:val="Margin Edition"/>
    <w:basedOn w:val="MarginNote"/>
    <w:rsid w:val="001A2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E13"/>
    <w:rPr>
      <w:sz w:val="2"/>
      <w:szCs w:val="2"/>
    </w:rPr>
  </w:style>
  <w:style w:type="character" w:customStyle="1" w:styleId="Small">
    <w:name w:val="Small"/>
    <w:basedOn w:val="DefaultParagraphFont"/>
    <w:rsid w:val="001A2E13"/>
    <w:rPr>
      <w:sz w:val="16"/>
    </w:rPr>
  </w:style>
  <w:style w:type="paragraph" w:customStyle="1" w:styleId="WideTable">
    <w:name w:val="Wide Table"/>
    <w:basedOn w:val="Normal"/>
    <w:rsid w:val="001A2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E13"/>
  </w:style>
  <w:style w:type="paragraph" w:styleId="Quote">
    <w:name w:val="Quote"/>
    <w:basedOn w:val="Heading1"/>
    <w:link w:val="QuoteChar"/>
    <w:qFormat/>
    <w:rsid w:val="001A2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E13"/>
    <w:pPr>
      <w:pageBreakBefore/>
    </w:pPr>
  </w:style>
  <w:style w:type="paragraph" w:customStyle="1" w:styleId="Border">
    <w:name w:val="Border"/>
    <w:basedOn w:val="Normal"/>
    <w:qFormat/>
    <w:rsid w:val="001A2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E13"/>
    <w:rPr>
      <w:u w:val="single"/>
    </w:rPr>
  </w:style>
  <w:style w:type="character" w:customStyle="1" w:styleId="BoldandItalics">
    <w:name w:val="Bold and Italics"/>
    <w:qFormat/>
    <w:rsid w:val="001A2E13"/>
    <w:rPr>
      <w:b/>
      <w:i/>
      <w:u w:val="none"/>
    </w:rPr>
  </w:style>
  <w:style w:type="paragraph" w:styleId="BalloonText">
    <w:name w:val="Balloon Text"/>
    <w:basedOn w:val="Normal"/>
    <w:link w:val="BalloonTextChar"/>
    <w:rsid w:val="001A2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E13"/>
    <w:pPr>
      <w:spacing w:before="0" w:after="0"/>
    </w:pPr>
  </w:style>
  <w:style w:type="paragraph" w:customStyle="1" w:styleId="BodyTextBold">
    <w:name w:val="Body Text Bold"/>
    <w:basedOn w:val="BodyText"/>
    <w:qFormat/>
    <w:rsid w:val="001A2E13"/>
    <w:rPr>
      <w:b/>
    </w:rPr>
  </w:style>
  <w:style w:type="character" w:styleId="Hyperlink">
    <w:name w:val="Hyperlink"/>
    <w:basedOn w:val="DefaultParagraphFont"/>
    <w:uiPriority w:val="99"/>
    <w:unhideWhenUsed/>
    <w:rsid w:val="00567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6158</Characters>
  <Application>Microsoft Office Word</Application>
  <DocSecurity>0</DocSecurity>
  <Lines>205</Lines>
  <Paragraphs>136</Paragraphs>
  <ScaleCrop>false</ScaleCrop>
  <Company>Author-it Software Corporation Ltd.</Company>
  <LinksUpToDate>false</LinksUpToDate>
  <CharactersWithSpaces>6940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CPCCBC4013 Prepare and evaluate tender documentation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