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6C1" w:rsidP="00B446C1">
      <w:pPr>
        <w:pStyle w:val="Title"/>
      </w:pPr>
      <w:r>
        <w:fldChar w:fldCharType="begin"/>
      </w:r>
      <w:r>
        <w:instrText xml:space="preserve"> TITLE   \* MERGEFORMAT </w:instrText>
      </w:r>
      <w:r>
        <w:fldChar w:fldCharType="separate"/>
      </w:r>
      <w:r>
        <w:t>CPCCBC4012 Read and interpret plans and specifications</w:t>
      </w:r>
      <w:r>
        <w:fldChar w:fldCharType="end"/>
      </w:r>
    </w:p>
    <w:p w:rsidR="00B446C1" w:rsidP="00B446C1">
      <w:pPr>
        <w:pStyle w:val="Version"/>
        <w:sectPr w:rsidSect="00C31B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31B7D" w:rsidP="00C31B7D">
      <w:pPr>
        <w:pStyle w:val="SuperHeading"/>
      </w:pPr>
      <w:r w:rsidRPr="00C31B7D">
        <w:t>CPCCBC4012 Read and interpret plans and specifications</w:t>
      </w:r>
    </w:p>
    <w:p w:rsidR="00000000" w:rsidRPr="00C31B7D" w:rsidP="00C31B7D">
      <w:pPr>
        <w:pStyle w:val="Heading1"/>
      </w:pPr>
      <w:bookmarkStart w:id="1" w:name="O_1291792"/>
      <w:bookmarkEnd w:id="1"/>
      <w:r w:rsidRPr="00C31B7D">
        <w:t>Modification History</w:t>
      </w:r>
    </w:p>
    <w:tbl>
      <w:tblPr>
        <w:tblW w:w="0" w:type="auto"/>
        <w:tblLayout w:type="fixed"/>
        <w:tblCellMar>
          <w:left w:w="62" w:type="dxa"/>
          <w:right w:w="62" w:type="dxa"/>
        </w:tblCellMar>
        <w:tblLook w:val="0000"/>
      </w:tblPr>
      <w:tblGrid>
        <w:gridCol w:w="1128"/>
        <w:gridCol w:w="7944"/>
      </w:tblGrid>
      <w:tr w:rsidTr="00C31B7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Release 2</w:t>
            </w:r>
          </w:p>
        </w:tc>
        <w:tc>
          <w:tcPr>
            <w:tcW w:w="7944" w:type="dxa"/>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Updated reference to general construction induction training program.</w:t>
            </w:r>
          </w:p>
        </w:tc>
      </w:tr>
      <w:tr w:rsidTr="00C31B7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Release 1</w:t>
            </w:r>
          </w:p>
        </w:tc>
        <w:tc>
          <w:tcPr>
            <w:tcW w:w="7944" w:type="dxa"/>
            <w:tcBorders>
              <w:top w:val="nil"/>
              <w:left w:val="nil"/>
              <w:bottom w:val="nil"/>
              <w:right w:val="nil"/>
            </w:tcBorders>
            <w:tcMar>
              <w:top w:w="0" w:type="dxa"/>
              <w:left w:w="62" w:type="dxa"/>
              <w:bottom w:w="0" w:type="dxa"/>
              <w:right w:w="62" w:type="dxa"/>
            </w:tcMar>
          </w:tcPr>
          <w:p w:rsidR="00000000" w:rsidRPr="00C31B7D" w:rsidP="00C31B7D">
            <w:pPr>
              <w:pStyle w:val="BodyText"/>
            </w:pPr>
            <w:r w:rsidRPr="00C31B7D">
              <w:t>This version first released with CPC Construction, Plumbing and Services Training Package Release 5.0.</w:t>
            </w:r>
          </w:p>
          <w:p w:rsidR="00000000" w:rsidRPr="00C31B7D" w:rsidP="00C31B7D">
            <w:pPr>
              <w:pStyle w:val="BodyText"/>
            </w:pPr>
            <w:r w:rsidRPr="00C31B7D">
              <w:t>Supersedes and is equiv</w:t>
            </w:r>
            <w:r w:rsidRPr="00C31B7D">
              <w:t>alent to CPCCBC4012B Read and interpret plans and specifications.  Updated to meet the Standards for Training Packages 2012.</w:t>
            </w:r>
          </w:p>
        </w:tc>
      </w:tr>
    </w:tbl>
    <w:p w:rsidR="00000000" w:rsidRPr="00C31B7D" w:rsidP="00C31B7D">
      <w:pPr>
        <w:pStyle w:val="BodyText"/>
      </w:pPr>
    </w:p>
    <w:p w:rsidR="00000000" w:rsidRPr="00C31B7D" w:rsidP="00C31B7D">
      <w:pPr>
        <w:pStyle w:val="AllowPageBreak"/>
      </w:pPr>
    </w:p>
    <w:p w:rsidR="00000000" w:rsidRPr="00C31B7D" w:rsidP="00C31B7D">
      <w:pPr>
        <w:pStyle w:val="Heading1"/>
      </w:pPr>
      <w:bookmarkStart w:id="2" w:name="O_1291791"/>
      <w:bookmarkEnd w:id="2"/>
      <w:r w:rsidRPr="00C31B7D">
        <w:t>Application</w:t>
      </w:r>
    </w:p>
    <w:p w:rsidR="00000000" w:rsidRPr="00C31B7D" w:rsidP="00B446C1">
      <w:pPr>
        <w:pStyle w:val="BodyText"/>
      </w:pPr>
      <w:r w:rsidRPr="00C31B7D">
        <w:t>This unit of competency specifies the skills and knowledge required to read and interpret plans an</w:t>
      </w:r>
      <w:r w:rsidRPr="00C31B7D">
        <w:t>d specifications applicable to residential and commercial projects. It includes identifying site characteristics, features of the proposed building and details of the construction.</w:t>
      </w:r>
    </w:p>
    <w:p w:rsidR="00000000" w:rsidRPr="00C31B7D" w:rsidP="00B446C1">
      <w:pPr>
        <w:pStyle w:val="BodyText"/>
      </w:pPr>
      <w:r w:rsidRPr="00C31B7D">
        <w:t xml:space="preserve">It applies to National Construction Code (NCC) classifications: </w:t>
      </w:r>
    </w:p>
    <w:p w:rsidR="00000000" w:rsidRPr="00C31B7D" w:rsidP="00C31B7D">
      <w:pPr>
        <w:pStyle w:val="ListBullet"/>
      </w:pPr>
      <w:r w:rsidRPr="00C31B7D">
        <w:t>Residenti</w:t>
      </w:r>
      <w:r w:rsidRPr="00C31B7D">
        <w:t xml:space="preserve">al - Class 1 and 10 buildings, maximum two storeys </w:t>
      </w:r>
    </w:p>
    <w:p w:rsidR="00000000" w:rsidRPr="00C31B7D" w:rsidP="00C31B7D">
      <w:pPr>
        <w:pStyle w:val="ListBullet"/>
      </w:pPr>
      <w:r w:rsidRPr="00C31B7D">
        <w:t>Commercial - Class 2 to 9, Type C only constructions.</w:t>
      </w:r>
    </w:p>
    <w:p w:rsidR="00000000" w:rsidRPr="00C31B7D" w:rsidP="00B446C1">
      <w:pPr>
        <w:pStyle w:val="BodyText"/>
      </w:pPr>
      <w:r w:rsidRPr="00C31B7D">
        <w:t>The unit of competency applies to site managers, forepersons, estimators, builders, managers and other building and construction industry personnel who read and interpret plans and specifications for quantity surveying, costing and tendering and constructi</w:t>
      </w:r>
      <w:r w:rsidRPr="00C31B7D">
        <w:t>on of building and construction projects.</w:t>
      </w:r>
    </w:p>
    <w:p w:rsidR="00000000" w:rsidRPr="00C31B7D" w:rsidP="00B446C1">
      <w:pPr>
        <w:pStyle w:val="BodyText"/>
      </w:pPr>
      <w:r w:rsidRPr="00C31B7D">
        <w:t xml:space="preserve">This unit is suitable for people with specialised knowledge, completing routine and non-routine tasks and using their own judgement to deal with predictable and sometimes unpredictable problems. </w:t>
      </w:r>
    </w:p>
    <w:p w:rsidR="00000000" w:rsidRPr="00C31B7D" w:rsidP="00B446C1">
      <w:pPr>
        <w:pStyle w:val="BodyText"/>
      </w:pPr>
      <w:r w:rsidRPr="00C31B7D">
        <w:t xml:space="preserve">Completion of the </w:t>
      </w:r>
      <w:r w:rsidRPr="00C31B7D">
        <w:t xml:space="preserve">general construction induction training program specified by the model Code of Practice for Construction Work is required for any person who is to carry out construction work.  Achievement of </w:t>
      </w:r>
      <w:r w:rsidRPr="00C31B7D">
        <w:rPr>
          <w:rStyle w:val="Emphasis"/>
        </w:rPr>
        <w:t xml:space="preserve">CPCWHS1001 Prepare to work safely in the construction industry </w:t>
      </w:r>
      <w:r w:rsidRPr="00C31B7D">
        <w:t>m</w:t>
      </w:r>
      <w:r w:rsidRPr="00C31B7D">
        <w:t>eets this requirement.</w:t>
      </w:r>
    </w:p>
    <w:p w:rsidR="00000000" w:rsidRPr="00C31B7D" w:rsidP="00B446C1">
      <w:pPr>
        <w:pStyle w:val="BodyText"/>
      </w:pPr>
      <w:r w:rsidRPr="00C31B7D">
        <w:t>Licensing, regulatory or registration requirements apply to this unit of competency in some jurisdictions. Relevant state and territory regulatory authorities should be consulted to confirm these requirements.</w:t>
      </w:r>
    </w:p>
    <w:p w:rsidR="00000000" w:rsidRPr="00C31B7D" w:rsidP="00C31B7D">
      <w:pPr>
        <w:pStyle w:val="Heading1"/>
      </w:pPr>
      <w:bookmarkStart w:id="3" w:name="O_1291790"/>
      <w:bookmarkEnd w:id="3"/>
      <w:r w:rsidRPr="00C31B7D">
        <w:t>Pre-</w:t>
      </w:r>
      <w:r w:rsidRPr="00C31B7D">
        <w:t>requisite Unit</w:t>
      </w:r>
    </w:p>
    <w:p w:rsidR="00000000" w:rsidRPr="00C31B7D" w:rsidP="00B446C1">
      <w:pPr>
        <w:pStyle w:val="BodyText"/>
      </w:pPr>
      <w:r w:rsidRPr="00C31B7D">
        <w:t>Nil.</w:t>
      </w:r>
    </w:p>
    <w:p w:rsidR="00000000" w:rsidRPr="00C31B7D" w:rsidP="00C31B7D">
      <w:pPr>
        <w:pStyle w:val="Heading1"/>
      </w:pPr>
      <w:bookmarkStart w:id="4" w:name="O_1291789"/>
      <w:bookmarkEnd w:id="4"/>
      <w:r w:rsidRPr="00C31B7D">
        <w:t>Unit Sector</w:t>
      </w:r>
    </w:p>
    <w:p w:rsidR="00000000" w:rsidRPr="00C31B7D" w:rsidP="00B446C1">
      <w:pPr>
        <w:pStyle w:val="BodyText"/>
      </w:pPr>
      <w:r w:rsidRPr="00C31B7D">
        <w:t>Building and Construction</w:t>
      </w:r>
    </w:p>
    <w:p w:rsidR="00000000" w:rsidRPr="00C31B7D" w:rsidP="00C31B7D">
      <w:pPr>
        <w:pStyle w:val="Heading1"/>
      </w:pPr>
      <w:bookmarkStart w:id="5" w:name="O_1291788"/>
      <w:bookmarkEnd w:id="5"/>
      <w:r w:rsidRPr="00C31B7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31B7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Performance criteria describe what needs to be done to demonstrate achievement of t</w:t>
            </w:r>
            <w:r w:rsidRPr="00C31B7D">
              <w:t>he element.</w:t>
            </w:r>
          </w:p>
        </w:tc>
      </w:tr>
      <w:tr w:rsidTr="00C31B7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1</w:t>
            </w:r>
          </w:p>
        </w:tc>
        <w:tc>
          <w:tcPr>
            <w:tcW w:w="2357" w:type="dxa"/>
            <w:vMerge w:val="restart"/>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Identify types of plans.</w:t>
            </w:r>
          </w:p>
        </w:tc>
        <w:tc>
          <w:tcPr>
            <w:tcW w:w="804" w:type="dxa"/>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1.1</w:t>
            </w:r>
          </w:p>
        </w:tc>
        <w:tc>
          <w:tcPr>
            <w:tcW w:w="5659" w:type="dxa"/>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 xml:space="preserve">Confirm plans, specifications and amendments are the current version. </w:t>
            </w:r>
          </w:p>
        </w:tc>
      </w:tr>
      <w:tr w:rsidTr="00C31B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1.2</w:t>
            </w:r>
          </w:p>
        </w:tc>
        <w:tc>
          <w:tcPr>
            <w:tcW w:w="5659" w:type="dxa"/>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Identify types of plans and aspects of the drawings specific for the intended purpose.</w:t>
            </w:r>
          </w:p>
        </w:tc>
      </w:tr>
      <w:tr w:rsidTr="00C31B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1.3</w:t>
            </w:r>
          </w:p>
        </w:tc>
        <w:tc>
          <w:tcPr>
            <w:tcW w:w="5659" w:type="dxa"/>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Confirm details on plans comply with the specifications.</w:t>
            </w:r>
          </w:p>
        </w:tc>
      </w:tr>
      <w:tr w:rsidTr="00C31B7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31B7D">
            <w:pPr>
              <w:pStyle w:val="BodyText"/>
              <w:rPr>
                <w:lang w:val="en-NZ"/>
              </w:rPr>
            </w:pPr>
          </w:p>
        </w:tc>
      </w:tr>
      <w:tr w:rsidTr="00C31B7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2</w:t>
            </w:r>
          </w:p>
        </w:tc>
        <w:tc>
          <w:tcPr>
            <w:tcW w:w="2357" w:type="dxa"/>
            <w:vMerge w:val="restart"/>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Read and interpret the plan.</w:t>
            </w:r>
          </w:p>
        </w:tc>
        <w:tc>
          <w:tcPr>
            <w:tcW w:w="804" w:type="dxa"/>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2.1</w:t>
            </w:r>
          </w:p>
        </w:tc>
        <w:tc>
          <w:tcPr>
            <w:tcW w:w="5659" w:type="dxa"/>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Distinguish key features on the plans.</w:t>
            </w:r>
          </w:p>
        </w:tc>
      </w:tr>
      <w:tr w:rsidTr="00C31B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2.2</w:t>
            </w:r>
          </w:p>
        </w:tc>
        <w:tc>
          <w:tcPr>
            <w:tcW w:w="5659" w:type="dxa"/>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Identify building location from site plan.</w:t>
            </w:r>
          </w:p>
        </w:tc>
      </w:tr>
      <w:tr w:rsidTr="00C31B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2.3</w:t>
            </w:r>
          </w:p>
        </w:tc>
        <w:tc>
          <w:tcPr>
            <w:tcW w:w="5659" w:type="dxa"/>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Identify building layout, spaces and dimensions from floor plan.</w:t>
            </w:r>
          </w:p>
        </w:tc>
      </w:tr>
      <w:tr w:rsidTr="00C31B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2.4</w:t>
            </w:r>
          </w:p>
        </w:tc>
        <w:tc>
          <w:tcPr>
            <w:tcW w:w="5659" w:type="dxa"/>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Examine detail drawings to determine sizes, thickness and methods of construction.</w:t>
            </w:r>
          </w:p>
        </w:tc>
      </w:tr>
      <w:tr w:rsidTr="00C31B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2.5</w:t>
            </w:r>
          </w:p>
        </w:tc>
        <w:tc>
          <w:tcPr>
            <w:tcW w:w="5659" w:type="dxa"/>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Identify internal linings, external cladding and roof materials from plans and specifications.</w:t>
            </w:r>
          </w:p>
        </w:tc>
      </w:tr>
      <w:tr w:rsidTr="00C31B7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31B7D">
            <w:pPr>
              <w:pStyle w:val="BodyText"/>
              <w:rPr>
                <w:lang w:val="en-NZ"/>
              </w:rPr>
            </w:pPr>
          </w:p>
        </w:tc>
      </w:tr>
      <w:tr w:rsidTr="00C31B7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3</w:t>
            </w:r>
          </w:p>
        </w:tc>
        <w:tc>
          <w:tcPr>
            <w:tcW w:w="2357" w:type="dxa"/>
            <w:vMerge w:val="restart"/>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Identify structural details.</w:t>
            </w:r>
          </w:p>
        </w:tc>
        <w:tc>
          <w:tcPr>
            <w:tcW w:w="804" w:type="dxa"/>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3.1</w:t>
            </w:r>
          </w:p>
        </w:tc>
        <w:tc>
          <w:tcPr>
            <w:tcW w:w="5659" w:type="dxa"/>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Identify concrete footing and slab sizes and position and type of reinforcing.</w:t>
            </w:r>
          </w:p>
        </w:tc>
      </w:tr>
      <w:tr w:rsidTr="00C31B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3.2</w:t>
            </w:r>
          </w:p>
        </w:tc>
        <w:tc>
          <w:tcPr>
            <w:tcW w:w="5659" w:type="dxa"/>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Identify load bearing points of the building.</w:t>
            </w:r>
          </w:p>
        </w:tc>
      </w:tr>
      <w:tr w:rsidTr="00C31B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3.3</w:t>
            </w:r>
          </w:p>
        </w:tc>
        <w:tc>
          <w:tcPr>
            <w:tcW w:w="5659" w:type="dxa"/>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Identify wind bracing and tie-down requirements.</w:t>
            </w:r>
          </w:p>
        </w:tc>
      </w:tr>
      <w:tr w:rsidTr="00C31B7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31B7D">
            <w:pPr>
              <w:pStyle w:val="BodyText"/>
              <w:rPr>
                <w:lang w:val="en-NZ"/>
              </w:rPr>
            </w:pPr>
          </w:p>
        </w:tc>
      </w:tr>
      <w:tr w:rsidTr="00C31B7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4</w:t>
            </w:r>
          </w:p>
        </w:tc>
        <w:tc>
          <w:tcPr>
            <w:tcW w:w="2357" w:type="dxa"/>
            <w:vMerge w:val="restart"/>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Identify non-structural details.</w:t>
            </w:r>
          </w:p>
        </w:tc>
        <w:tc>
          <w:tcPr>
            <w:tcW w:w="804" w:type="dxa"/>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4.1</w:t>
            </w:r>
          </w:p>
        </w:tc>
        <w:tc>
          <w:tcPr>
            <w:tcW w:w="5659" w:type="dxa"/>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Identify provisional sum (PS) and prime cost (PC) items.</w:t>
            </w:r>
          </w:p>
        </w:tc>
      </w:tr>
      <w:tr w:rsidTr="00C31B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4.2</w:t>
            </w:r>
          </w:p>
        </w:tc>
        <w:tc>
          <w:tcPr>
            <w:tcW w:w="5659" w:type="dxa"/>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Locate installation and connection points of services to the building.</w:t>
            </w:r>
          </w:p>
        </w:tc>
      </w:tr>
      <w:tr w:rsidTr="00C31B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1B7D">
            <w:pPr>
              <w:pStyle w:val="BodyText"/>
              <w:rPr>
                <w:lang w:val="en-NZ"/>
              </w:rPr>
            </w:pPr>
            <w:r w:rsidRPr="00C31B7D">
              <w:t>4.3</w:t>
            </w:r>
          </w:p>
        </w:tc>
        <w:tc>
          <w:tcPr>
            <w:tcW w:w="5659" w:type="dxa"/>
            <w:tcBorders>
              <w:top w:val="nil"/>
              <w:left w:val="nil"/>
              <w:bottom w:val="nil"/>
              <w:right w:val="nil"/>
            </w:tcBorders>
            <w:tcMar>
              <w:top w:w="0" w:type="dxa"/>
              <w:left w:w="62" w:type="dxa"/>
              <w:bottom w:w="0" w:type="dxa"/>
              <w:right w:w="62" w:type="dxa"/>
            </w:tcMar>
          </w:tcPr>
          <w:p w:rsidR="00000000" w:rsidRPr="00C31B7D" w:rsidP="00C31B7D">
            <w:pPr>
              <w:pStyle w:val="BodyText"/>
            </w:pPr>
            <w:r w:rsidRPr="00C31B7D">
              <w:t xml:space="preserve">Identify location of fixtures from plans and details of </w:t>
            </w:r>
            <w:r w:rsidRPr="00C31B7D">
              <w:t>finishes from specifications.</w:t>
            </w:r>
          </w:p>
        </w:tc>
      </w:tr>
    </w:tbl>
    <w:p w:rsidR="00000000" w:rsidRPr="00C31B7D" w:rsidP="00C31B7D">
      <w:pPr>
        <w:pStyle w:val="BodyText"/>
      </w:pPr>
    </w:p>
    <w:p w:rsidR="00000000" w:rsidRPr="00C31B7D" w:rsidP="00C31B7D">
      <w:pPr>
        <w:pStyle w:val="AllowPageBreak"/>
      </w:pPr>
    </w:p>
    <w:p w:rsidR="00000000" w:rsidRPr="00C31B7D" w:rsidP="00C31B7D">
      <w:pPr>
        <w:pStyle w:val="Heading1"/>
      </w:pPr>
      <w:bookmarkStart w:id="6" w:name="O_1291787"/>
      <w:bookmarkEnd w:id="6"/>
      <w:r w:rsidRPr="00C31B7D">
        <w:t>Foundation Skills</w:t>
      </w:r>
    </w:p>
    <w:p w:rsidR="00000000" w:rsidRPr="00C31B7D" w:rsidP="00B446C1">
      <w:pPr>
        <w:pStyle w:val="BodyText"/>
      </w:pPr>
      <w:r w:rsidRPr="00C31B7D">
        <w:t xml:space="preserve">Foundation skills essential to performance are explicit in the performance criteria of this unit of competency. </w:t>
      </w:r>
    </w:p>
    <w:p w:rsidR="00000000" w:rsidRPr="00C31B7D" w:rsidP="00C31B7D">
      <w:pPr>
        <w:pStyle w:val="Heading1"/>
      </w:pPr>
      <w:bookmarkStart w:id="7" w:name="O_1291786"/>
      <w:bookmarkEnd w:id="7"/>
      <w:r w:rsidRPr="00C31B7D">
        <w:t>Unit Mapping Information</w:t>
      </w:r>
    </w:p>
    <w:p w:rsidR="00000000" w:rsidRPr="00C31B7D" w:rsidP="00B446C1">
      <w:pPr>
        <w:pStyle w:val="BodyText"/>
      </w:pPr>
      <w:r w:rsidRPr="00C31B7D">
        <w:t>Supersedes and is equivalent to CPCCBC4012B Read and interpret plans and specifications</w:t>
      </w:r>
    </w:p>
    <w:p w:rsidR="00000000" w:rsidRPr="00C31B7D" w:rsidP="00C31B7D">
      <w:pPr>
        <w:pStyle w:val="Heading1"/>
      </w:pPr>
      <w:bookmarkStart w:id="8" w:name="O_1291793"/>
      <w:bookmarkEnd w:id="8"/>
      <w:r w:rsidRPr="00C31B7D">
        <w:t>Links</w:t>
      </w:r>
    </w:p>
    <w:p w:rsidR="00000000" w:rsidRPr="00C31B7D" w:rsidP="00B446C1">
      <w:pPr>
        <w:pStyle w:val="BodyText"/>
      </w:pPr>
      <w:r w:rsidRPr="00C31B7D">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12C28">
        <w:rPr>
          <w:rStyle w:val="Hyperlink"/>
        </w:rPr>
        <w:t>https://vetnet.gov.au/Pages/TrainingDocs.aspx?q=7e15fa6a-68b8-4097-b099-030a5569b1ad</w:t>
      </w:r>
      <w:r>
        <w:fldChar w:fldCharType="end"/>
      </w:r>
    </w:p>
    <w:p w:rsidR="00000000" w:rsidRPr="00C31B7D" w:rsidP="00C31B7D"/>
    <w:sectPr w:rsidSect="00C31B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B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B7D" w:rsidRPr="00B446C1" w:rsidP="00B446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B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6C1" w:rsidP="00C31B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46C1" w:rsidP="00C31B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446C1" w:rsidP="00C31B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B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6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1B7D" w:rsidRPr="00B446C1" w:rsidP="00B446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B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6C1" w:rsidRPr="002D2AF8" w:rsidP="00C31B7D">
    <w:pPr>
      <w:pStyle w:val="Header"/>
      <w:framePr w:wrap="around"/>
    </w:pPr>
    <w:r>
      <w:fldChar w:fldCharType="begin"/>
    </w:r>
    <w:r>
      <w:instrText xml:space="preserve"> TITLE   \* MERGEFORMAT </w:instrText>
    </w:r>
    <w:r>
      <w:fldChar w:fldCharType="separate"/>
    </w:r>
    <w:r>
      <w:t>CPCCBC4012 Read and interpret plans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B446C1" w:rsidP="00C31B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AEEB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C003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B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1B7D"/>
    <w:pPr>
      <w:spacing w:before="360" w:after="60"/>
      <w:outlineLvl w:val="0"/>
    </w:pPr>
    <w:rPr>
      <w:sz w:val="32"/>
    </w:rPr>
  </w:style>
  <w:style w:type="paragraph" w:styleId="Heading2">
    <w:name w:val="heading 2"/>
    <w:basedOn w:val="HeadingBase"/>
    <w:next w:val="BodyText"/>
    <w:link w:val="Heading2Char"/>
    <w:qFormat/>
    <w:rsid w:val="00C31B7D"/>
    <w:pPr>
      <w:keepLines/>
      <w:spacing w:before="240" w:after="120"/>
      <w:outlineLvl w:val="1"/>
    </w:pPr>
    <w:rPr>
      <w:sz w:val="28"/>
      <w:szCs w:val="40"/>
    </w:rPr>
  </w:style>
  <w:style w:type="paragraph" w:styleId="Heading3">
    <w:name w:val="heading 3"/>
    <w:basedOn w:val="HeadingBase"/>
    <w:next w:val="BodyText"/>
    <w:link w:val="Heading3Char"/>
    <w:qFormat/>
    <w:rsid w:val="00C31B7D"/>
    <w:pPr>
      <w:spacing w:before="180" w:after="120"/>
      <w:outlineLvl w:val="2"/>
    </w:pPr>
    <w:rPr>
      <w:spacing w:val="-10"/>
      <w:kern w:val="32"/>
    </w:rPr>
  </w:style>
  <w:style w:type="paragraph" w:styleId="Heading4">
    <w:name w:val="heading 4"/>
    <w:basedOn w:val="HeadingBase"/>
    <w:next w:val="BodyText"/>
    <w:link w:val="Heading4Char"/>
    <w:qFormat/>
    <w:rsid w:val="00C31B7D"/>
    <w:pPr>
      <w:spacing w:before="160" w:after="120"/>
      <w:outlineLvl w:val="3"/>
    </w:pPr>
    <w:rPr>
      <w:sz w:val="22"/>
    </w:rPr>
  </w:style>
  <w:style w:type="paragraph" w:styleId="Heading5">
    <w:name w:val="heading 5"/>
    <w:basedOn w:val="HeadingBase"/>
    <w:next w:val="Normal"/>
    <w:link w:val="Heading5Char"/>
    <w:qFormat/>
    <w:rsid w:val="00C31B7D"/>
    <w:pPr>
      <w:spacing w:before="80"/>
      <w:outlineLvl w:val="4"/>
    </w:pPr>
    <w:rPr>
      <w:color w:val="918585"/>
      <w:sz w:val="20"/>
    </w:rPr>
  </w:style>
  <w:style w:type="paragraph" w:styleId="Heading6">
    <w:name w:val="heading 6"/>
    <w:basedOn w:val="HeadingBase"/>
    <w:next w:val="Normal"/>
    <w:link w:val="Heading6Char"/>
    <w:qFormat/>
    <w:rsid w:val="00C31B7D"/>
    <w:pPr>
      <w:spacing w:before="60"/>
      <w:outlineLvl w:val="5"/>
    </w:pPr>
    <w:rPr>
      <w:color w:val="918585"/>
      <w:sz w:val="20"/>
    </w:rPr>
  </w:style>
  <w:style w:type="paragraph" w:styleId="Heading7">
    <w:name w:val="heading 7"/>
    <w:basedOn w:val="Normal"/>
    <w:next w:val="Normal"/>
    <w:link w:val="Heading7Char"/>
    <w:qFormat/>
    <w:rsid w:val="00C31B7D"/>
    <w:pPr>
      <w:ind w:left="720"/>
      <w:outlineLvl w:val="6"/>
    </w:pPr>
    <w:rPr>
      <w:i/>
    </w:rPr>
  </w:style>
  <w:style w:type="paragraph" w:styleId="Heading8">
    <w:name w:val="heading 8"/>
    <w:basedOn w:val="Normal"/>
    <w:next w:val="Normal"/>
    <w:link w:val="Heading8Char"/>
    <w:qFormat/>
    <w:rsid w:val="00C31B7D"/>
    <w:pPr>
      <w:ind w:left="720"/>
      <w:outlineLvl w:val="7"/>
    </w:pPr>
    <w:rPr>
      <w:i/>
    </w:rPr>
  </w:style>
  <w:style w:type="paragraph" w:styleId="Heading9">
    <w:name w:val="heading 9"/>
    <w:basedOn w:val="Normal"/>
    <w:next w:val="Normal"/>
    <w:link w:val="Heading9Char"/>
    <w:qFormat/>
    <w:rsid w:val="00C31B7D"/>
    <w:pPr>
      <w:ind w:left="720"/>
      <w:outlineLvl w:val="8"/>
    </w:pPr>
    <w:rPr>
      <w:i/>
    </w:rPr>
  </w:style>
  <w:style w:type="character" w:default="1" w:styleId="DefaultParagraphFont">
    <w:name w:val="Default Paragraph Font"/>
    <w:uiPriority w:val="1"/>
    <w:unhideWhenUsed/>
    <w:rsid w:val="00C31B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1B7D"/>
  </w:style>
  <w:style w:type="character" w:customStyle="1" w:styleId="Heading1Char">
    <w:name w:val="Heading 1 Char"/>
    <w:basedOn w:val="DefaultParagraphFont"/>
    <w:link w:val="Heading1"/>
    <w:rsid w:val="00C31B7D"/>
    <w:rPr>
      <w:rFonts w:ascii="Times New Roman" w:eastAsia="Times New Roman" w:hAnsi="Times New Roman" w:cs="Times New Roman"/>
      <w:b/>
      <w:sz w:val="32"/>
      <w:szCs w:val="20"/>
      <w:lang w:eastAsia="en-US"/>
    </w:rPr>
  </w:style>
  <w:style w:type="paragraph" w:styleId="BodyText">
    <w:name w:val="Body Text"/>
    <w:basedOn w:val="Normal"/>
    <w:link w:val="BodyTextChar"/>
    <w:rsid w:val="00C31B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1B7D"/>
    <w:rPr>
      <w:rFonts w:ascii="Times New Roman" w:eastAsia="Times New Roman" w:hAnsi="Times New Roman" w:cs="Times New Roman"/>
      <w:sz w:val="24"/>
      <w:lang w:eastAsia="en-US"/>
    </w:rPr>
  </w:style>
  <w:style w:type="paragraph" w:styleId="ListBullet">
    <w:name w:val="List Bullet"/>
    <w:basedOn w:val="List"/>
    <w:rsid w:val="00C31B7D"/>
    <w:pPr>
      <w:numPr>
        <w:numId w:val="11"/>
      </w:numPr>
      <w:tabs>
        <w:tab w:val="clear" w:pos="340"/>
      </w:tabs>
      <w:spacing w:before="40" w:after="40"/>
    </w:pPr>
  </w:style>
  <w:style w:type="character" w:styleId="Emphasis">
    <w:name w:val="Emphasis"/>
    <w:basedOn w:val="DefaultParagraphFont"/>
    <w:qFormat/>
    <w:rsid w:val="00C31B7D"/>
    <w:rPr>
      <w:i/>
    </w:rPr>
  </w:style>
  <w:style w:type="paragraph" w:customStyle="1" w:styleId="SuperHeading">
    <w:name w:val="SuperHeading"/>
    <w:basedOn w:val="Normal"/>
    <w:rsid w:val="00C31B7D"/>
    <w:pPr>
      <w:spacing w:before="240" w:after="120"/>
      <w:outlineLvl w:val="0"/>
    </w:pPr>
    <w:rPr>
      <w:rFonts w:ascii="Times New Roman" w:hAnsi="Times New Roman"/>
      <w:b/>
      <w:sz w:val="32"/>
    </w:rPr>
  </w:style>
  <w:style w:type="paragraph" w:customStyle="1" w:styleId="AllowPageBreak">
    <w:name w:val="AllowPageBreak"/>
    <w:rsid w:val="00C31B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1B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1B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1B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1B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1B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1B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1B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1B7D"/>
    <w:rPr>
      <w:rFonts w:ascii="Courier New" w:eastAsia="Times New Roman" w:hAnsi="Courier New" w:cs="Times New Roman"/>
      <w:i/>
      <w:szCs w:val="20"/>
      <w:lang w:eastAsia="en-US"/>
    </w:rPr>
  </w:style>
  <w:style w:type="paragraph" w:customStyle="1" w:styleId="HeadingBase">
    <w:name w:val="Heading Base"/>
    <w:rsid w:val="00C31B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1B7D"/>
    <w:pPr>
      <w:tabs>
        <w:tab w:val="right" w:leader="dot" w:pos="9072"/>
      </w:tabs>
      <w:ind w:left="567"/>
    </w:pPr>
    <w:rPr>
      <w:szCs w:val="22"/>
    </w:rPr>
  </w:style>
  <w:style w:type="paragraph" w:customStyle="1" w:styleId="TOCBase">
    <w:name w:val="TOC Base"/>
    <w:rsid w:val="00C31B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1B7D"/>
    <w:pPr>
      <w:tabs>
        <w:tab w:val="right" w:leader="dot" w:pos="9072"/>
      </w:tabs>
      <w:spacing w:before="40" w:after="40"/>
      <w:ind w:left="284"/>
    </w:pPr>
    <w:rPr>
      <w:rFonts w:ascii="Times New Roman" w:hAnsi="Times New Roman"/>
    </w:rPr>
  </w:style>
  <w:style w:type="paragraph" w:styleId="TOC1">
    <w:name w:val="toc 1"/>
    <w:basedOn w:val="TOCBase"/>
    <w:next w:val="Normal"/>
    <w:rsid w:val="00C31B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1B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1B7D"/>
    <w:rPr>
      <w:rFonts w:ascii="Times New Roman" w:eastAsia="Times New Roman" w:hAnsi="Times New Roman" w:cs="Times New Roman"/>
      <w:sz w:val="16"/>
      <w:lang w:eastAsia="en-US"/>
    </w:rPr>
  </w:style>
  <w:style w:type="paragraph" w:styleId="Title">
    <w:name w:val="Title"/>
    <w:basedOn w:val="HeadingBase"/>
    <w:link w:val="TitleChar"/>
    <w:qFormat/>
    <w:rsid w:val="00C31B7D"/>
    <w:pPr>
      <w:spacing w:before="5040"/>
      <w:jc w:val="center"/>
    </w:pPr>
    <w:rPr>
      <w:sz w:val="48"/>
      <w:szCs w:val="72"/>
      <w:lang w:val="en-US"/>
    </w:rPr>
  </w:style>
  <w:style w:type="character" w:customStyle="1" w:styleId="TitleChar">
    <w:name w:val="Title Char"/>
    <w:basedOn w:val="DefaultParagraphFont"/>
    <w:link w:val="Title"/>
    <w:rsid w:val="00C31B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1B7D"/>
    <w:pPr>
      <w:tabs>
        <w:tab w:val="left" w:pos="3600"/>
        <w:tab w:val="left" w:pos="3958"/>
      </w:tabs>
    </w:pPr>
  </w:style>
  <w:style w:type="paragraph" w:styleId="List">
    <w:name w:val="List"/>
    <w:basedOn w:val="BodyText"/>
    <w:next w:val="BodyText"/>
    <w:rsid w:val="00C31B7D"/>
    <w:pPr>
      <w:tabs>
        <w:tab w:val="left" w:pos="340"/>
      </w:tabs>
      <w:spacing w:before="60" w:after="60"/>
      <w:ind w:left="340" w:hanging="340"/>
    </w:pPr>
  </w:style>
  <w:style w:type="paragraph" w:customStyle="1" w:styleId="Note">
    <w:name w:val="Note"/>
    <w:basedOn w:val="BodyText"/>
    <w:rsid w:val="00C31B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1B7D"/>
    <w:rPr>
      <w:b/>
      <w:spacing w:val="0"/>
    </w:rPr>
  </w:style>
  <w:style w:type="paragraph" w:customStyle="1" w:styleId="SuperTitle">
    <w:name w:val="SuperTitle"/>
    <w:basedOn w:val="Title"/>
    <w:rsid w:val="00C31B7D"/>
    <w:pPr>
      <w:framePr w:wrap="auto" w:hAnchor="text" w:y="6049"/>
    </w:pPr>
    <w:rPr>
      <w:color w:val="000000"/>
      <w:sz w:val="40"/>
    </w:rPr>
  </w:style>
  <w:style w:type="paragraph" w:customStyle="1" w:styleId="TOCTitle">
    <w:name w:val="TOCTitle"/>
    <w:basedOn w:val="Heading1"/>
    <w:rsid w:val="00C31B7D"/>
    <w:pPr>
      <w:spacing w:after="240"/>
      <w:jc w:val="center"/>
      <w:outlineLvl w:val="9"/>
    </w:pPr>
    <w:rPr>
      <w:caps/>
    </w:rPr>
  </w:style>
  <w:style w:type="paragraph" w:customStyle="1" w:styleId="Version">
    <w:name w:val="Version"/>
    <w:rsid w:val="00C31B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1B7D"/>
    <w:pPr>
      <w:numPr>
        <w:numId w:val="12"/>
      </w:numPr>
      <w:tabs>
        <w:tab w:val="clear" w:pos="680"/>
      </w:tabs>
    </w:pPr>
  </w:style>
  <w:style w:type="paragraph" w:styleId="Index1">
    <w:name w:val="index 1"/>
    <w:basedOn w:val="Normal"/>
    <w:next w:val="Normal"/>
    <w:semiHidden/>
    <w:rsid w:val="00C31B7D"/>
    <w:pPr>
      <w:keepNext w:val="0"/>
      <w:tabs>
        <w:tab w:val="right" w:pos="4176"/>
      </w:tabs>
      <w:ind w:left="198" w:hanging="198"/>
    </w:pPr>
    <w:rPr>
      <w:rFonts w:ascii="Garamond" w:hAnsi="Garamond"/>
    </w:rPr>
  </w:style>
  <w:style w:type="paragraph" w:styleId="IndexHeading">
    <w:name w:val="index heading"/>
    <w:basedOn w:val="Normal"/>
    <w:next w:val="Index1"/>
    <w:semiHidden/>
    <w:rsid w:val="00C31B7D"/>
    <w:pPr>
      <w:spacing w:before="120" w:after="120"/>
    </w:pPr>
    <w:rPr>
      <w:rFonts w:ascii="Arial" w:hAnsi="Arial"/>
      <w:b/>
      <w:color w:val="918585"/>
      <w:sz w:val="24"/>
    </w:rPr>
  </w:style>
  <w:style w:type="paragraph" w:styleId="Header">
    <w:name w:val="header"/>
    <w:basedOn w:val="Normal"/>
    <w:link w:val="HeaderChar"/>
    <w:rsid w:val="00C31B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1B7D"/>
    <w:rPr>
      <w:rFonts w:ascii="Times New Roman" w:eastAsia="Times New Roman" w:hAnsi="Times New Roman" w:cs="Times New Roman"/>
      <w:sz w:val="16"/>
      <w:szCs w:val="20"/>
      <w:lang w:val="en-GB" w:eastAsia="en-US"/>
    </w:rPr>
  </w:style>
  <w:style w:type="paragraph" w:customStyle="1" w:styleId="Chapter">
    <w:name w:val="Chapter"/>
    <w:basedOn w:val="Normal"/>
    <w:rsid w:val="00C31B7D"/>
    <w:pPr>
      <w:spacing w:before="240"/>
    </w:pPr>
    <w:rPr>
      <w:rFonts w:ascii="Times New Roman" w:hAnsi="Times New Roman"/>
      <w:smallCaps/>
      <w:spacing w:val="80"/>
      <w:sz w:val="28"/>
    </w:rPr>
  </w:style>
  <w:style w:type="paragraph" w:customStyle="1" w:styleId="InChapter">
    <w:name w:val="InChapter"/>
    <w:basedOn w:val="Heading3"/>
    <w:rsid w:val="00C31B7D"/>
    <w:pPr>
      <w:spacing w:after="240"/>
      <w:outlineLvl w:val="9"/>
    </w:pPr>
    <w:rPr>
      <w:noProof/>
    </w:rPr>
  </w:style>
  <w:style w:type="paragraph" w:styleId="Index2">
    <w:name w:val="index 2"/>
    <w:basedOn w:val="Normal"/>
    <w:next w:val="Normal"/>
    <w:semiHidden/>
    <w:rsid w:val="00C31B7D"/>
    <w:pPr>
      <w:tabs>
        <w:tab w:val="right" w:pos="4176"/>
      </w:tabs>
      <w:ind w:left="568" w:hanging="284"/>
    </w:pPr>
    <w:rPr>
      <w:rFonts w:ascii="Garamond" w:hAnsi="Garamond"/>
    </w:rPr>
  </w:style>
  <w:style w:type="paragraph" w:customStyle="1" w:styleId="Byline">
    <w:name w:val="Byline"/>
    <w:rsid w:val="00C31B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1B7D"/>
    <w:pPr>
      <w:tabs>
        <w:tab w:val="clear" w:pos="3600"/>
        <w:tab w:val="clear" w:pos="3958"/>
      </w:tabs>
      <w:jc w:val="right"/>
    </w:pPr>
  </w:style>
  <w:style w:type="paragraph" w:styleId="Caption">
    <w:name w:val="caption"/>
    <w:basedOn w:val="BodyText"/>
    <w:next w:val="Normal"/>
    <w:qFormat/>
    <w:rsid w:val="00C31B7D"/>
    <w:pPr>
      <w:framePr w:w="2268" w:hSpace="181" w:vSpace="181" w:wrap="around" w:vAnchor="text" w:hAnchor="page" w:x="1135" w:y="285" w:anchorLock="1"/>
    </w:pPr>
    <w:rPr>
      <w:i/>
    </w:rPr>
  </w:style>
  <w:style w:type="paragraph" w:customStyle="1" w:styleId="MiniTOCTitle">
    <w:name w:val="MiniTOCTitle"/>
    <w:basedOn w:val="Heading4"/>
    <w:rsid w:val="00C31B7D"/>
    <w:pPr>
      <w:spacing w:before="240"/>
      <w:outlineLvl w:val="9"/>
    </w:pPr>
    <w:rPr>
      <w:noProof/>
      <w:sz w:val="24"/>
    </w:rPr>
  </w:style>
  <w:style w:type="paragraph" w:customStyle="1" w:styleId="MiniTOCItem">
    <w:name w:val="MiniTOCItem"/>
    <w:basedOn w:val="ListBullet"/>
    <w:rsid w:val="00C31B7D"/>
    <w:pPr>
      <w:numPr>
        <w:numId w:val="0"/>
      </w:numPr>
      <w:tabs>
        <w:tab w:val="right" w:leader="dot" w:pos="6521"/>
      </w:tabs>
      <w:spacing w:before="0" w:after="0"/>
    </w:pPr>
  </w:style>
  <w:style w:type="paragraph" w:customStyle="1" w:styleId="TOFTitle">
    <w:name w:val="TOFTitle"/>
    <w:basedOn w:val="TOCTitle"/>
    <w:rsid w:val="00C31B7D"/>
  </w:style>
  <w:style w:type="paragraph" w:styleId="TableofFigures">
    <w:name w:val="table of figures"/>
    <w:basedOn w:val="Normal"/>
    <w:next w:val="Normal"/>
    <w:semiHidden/>
    <w:rsid w:val="00C31B7D"/>
    <w:pPr>
      <w:tabs>
        <w:tab w:val="right" w:leader="dot" w:pos="9072"/>
      </w:tabs>
      <w:ind w:left="970" w:hanging="403"/>
    </w:pPr>
    <w:rPr>
      <w:rFonts w:ascii="Times New Roman" w:hAnsi="Times New Roman"/>
      <w:b/>
    </w:rPr>
  </w:style>
  <w:style w:type="paragraph" w:styleId="ListNumber">
    <w:name w:val="List Number"/>
    <w:basedOn w:val="List"/>
    <w:rsid w:val="00C31B7D"/>
    <w:pPr>
      <w:numPr>
        <w:numId w:val="14"/>
      </w:numPr>
      <w:tabs>
        <w:tab w:val="clear" w:pos="340"/>
      </w:tabs>
    </w:pPr>
  </w:style>
  <w:style w:type="character" w:customStyle="1" w:styleId="WingdingSymbols">
    <w:name w:val="Wingding Symbols"/>
    <w:rsid w:val="00C31B7D"/>
    <w:rPr>
      <w:rFonts w:ascii="Wingdings" w:hAnsi="Wingdings"/>
    </w:rPr>
  </w:style>
  <w:style w:type="paragraph" w:customStyle="1" w:styleId="TableHeading">
    <w:name w:val="Table Heading"/>
    <w:basedOn w:val="HeadingBase"/>
    <w:rsid w:val="00C31B7D"/>
    <w:pPr>
      <w:keepLines/>
      <w:pBdr>
        <w:bottom w:val="single" w:sz="6" w:space="1" w:color="918585"/>
      </w:pBdr>
      <w:spacing w:before="240"/>
    </w:pPr>
  </w:style>
  <w:style w:type="character" w:customStyle="1" w:styleId="HotSpot">
    <w:name w:val="HotSpot"/>
    <w:rsid w:val="00C31B7D"/>
    <w:rPr>
      <w:color w:val="0033CC"/>
      <w:u w:val="none"/>
    </w:rPr>
  </w:style>
  <w:style w:type="paragraph" w:customStyle="1" w:styleId="BodyTextRight">
    <w:name w:val="Body Text Right"/>
    <w:basedOn w:val="BodyText"/>
    <w:rsid w:val="00C31B7D"/>
    <w:pPr>
      <w:spacing w:before="0" w:after="0"/>
      <w:jc w:val="right"/>
    </w:pPr>
  </w:style>
  <w:style w:type="paragraph" w:styleId="Index3">
    <w:name w:val="index 3"/>
    <w:basedOn w:val="ListNumber2"/>
    <w:next w:val="Normal"/>
    <w:semiHidden/>
    <w:rsid w:val="00C31B7D"/>
    <w:pPr>
      <w:numPr>
        <w:numId w:val="0"/>
      </w:numPr>
      <w:tabs>
        <w:tab w:val="right" w:leader="dot" w:pos="4176"/>
      </w:tabs>
    </w:pPr>
  </w:style>
  <w:style w:type="paragraph" w:styleId="ListNumber2">
    <w:name w:val="List Number 2"/>
    <w:basedOn w:val="List2"/>
    <w:rsid w:val="00C31B7D"/>
    <w:pPr>
      <w:numPr>
        <w:numId w:val="9"/>
      </w:numPr>
      <w:tabs>
        <w:tab w:val="clear" w:pos="1060"/>
      </w:tabs>
    </w:pPr>
  </w:style>
  <w:style w:type="paragraph" w:customStyle="1" w:styleId="MarginNote">
    <w:name w:val="Margin Note"/>
    <w:basedOn w:val="BodyText"/>
    <w:rsid w:val="00C31B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1B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1B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1B7D"/>
    <w:rPr>
      <w:sz w:val="32"/>
    </w:rPr>
  </w:style>
  <w:style w:type="paragraph" w:customStyle="1" w:styleId="HeadingProcedure">
    <w:name w:val="Heading Procedure"/>
    <w:basedOn w:val="HeadingBase"/>
    <w:next w:val="Normal"/>
    <w:rsid w:val="00C31B7D"/>
    <w:pPr>
      <w:tabs>
        <w:tab w:val="left" w:pos="0"/>
      </w:tabs>
      <w:spacing w:before="120" w:after="60"/>
    </w:pPr>
    <w:rPr>
      <w:i/>
      <w:color w:val="918585"/>
      <w:sz w:val="22"/>
    </w:rPr>
  </w:style>
  <w:style w:type="paragraph" w:customStyle="1" w:styleId="TableBodyText">
    <w:name w:val="Table Body Text"/>
    <w:basedOn w:val="BodyText"/>
    <w:rsid w:val="00C31B7D"/>
    <w:pPr>
      <w:spacing w:before="60" w:after="60"/>
    </w:pPr>
  </w:style>
  <w:style w:type="paragraph" w:styleId="ListContinue">
    <w:name w:val="List Continue"/>
    <w:basedOn w:val="List"/>
    <w:rsid w:val="00C31B7D"/>
    <w:pPr>
      <w:ind w:firstLine="0"/>
    </w:pPr>
  </w:style>
  <w:style w:type="paragraph" w:customStyle="1" w:styleId="ListNote">
    <w:name w:val="List Note"/>
    <w:basedOn w:val="List"/>
    <w:rsid w:val="00C31B7D"/>
    <w:pPr>
      <w:pBdr>
        <w:top w:val="single" w:sz="6" w:space="2" w:color="918585"/>
        <w:bottom w:val="single" w:sz="6" w:space="2" w:color="918585"/>
      </w:pBdr>
      <w:tabs>
        <w:tab w:val="left" w:pos="1021"/>
      </w:tabs>
      <w:ind w:firstLine="0"/>
    </w:pPr>
  </w:style>
  <w:style w:type="paragraph" w:customStyle="1" w:styleId="Warning">
    <w:name w:val="Warning"/>
    <w:basedOn w:val="BodyText"/>
    <w:rsid w:val="00C31B7D"/>
    <w:pPr>
      <w:shd w:val="clear" w:color="auto" w:fill="D9D9D9"/>
      <w:tabs>
        <w:tab w:val="left" w:pos="992"/>
      </w:tabs>
      <w:ind w:left="119" w:right="119"/>
    </w:pPr>
    <w:rPr>
      <w:sz w:val="20"/>
    </w:rPr>
  </w:style>
  <w:style w:type="paragraph" w:customStyle="1" w:styleId="MarginIcons">
    <w:name w:val="Margin Icons"/>
    <w:basedOn w:val="BodyText"/>
    <w:rsid w:val="00C31B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1B7D"/>
    <w:rPr>
      <w:rFonts w:ascii="Courier New" w:hAnsi="Courier New"/>
    </w:rPr>
  </w:style>
  <w:style w:type="paragraph" w:customStyle="1" w:styleId="NoteBullet">
    <w:name w:val="Note Bullet"/>
    <w:basedOn w:val="Note"/>
    <w:rsid w:val="00C31B7D"/>
    <w:pPr>
      <w:tabs>
        <w:tab w:val="clear" w:pos="680"/>
      </w:tabs>
      <w:spacing w:before="60" w:after="60"/>
    </w:pPr>
  </w:style>
  <w:style w:type="paragraph" w:customStyle="1" w:styleId="SubHeading2">
    <w:name w:val="SubHeading2"/>
    <w:basedOn w:val="HeadingBase"/>
    <w:rsid w:val="00C31B7D"/>
    <w:pPr>
      <w:spacing w:before="240" w:after="60"/>
    </w:pPr>
    <w:rPr>
      <w:sz w:val="20"/>
    </w:rPr>
  </w:style>
  <w:style w:type="paragraph" w:customStyle="1" w:styleId="SubHeading1">
    <w:name w:val="SubHeading1"/>
    <w:basedOn w:val="HeadingBase"/>
    <w:rsid w:val="00C31B7D"/>
    <w:pPr>
      <w:spacing w:before="240" w:after="60"/>
    </w:pPr>
    <w:rPr>
      <w:color w:val="918585"/>
      <w:sz w:val="22"/>
    </w:rPr>
  </w:style>
  <w:style w:type="paragraph" w:customStyle="1" w:styleId="SideHeading">
    <w:name w:val="Side Heading"/>
    <w:basedOn w:val="HeadingBase"/>
    <w:rsid w:val="00C31B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1B7D"/>
    <w:pPr>
      <w:numPr>
        <w:numId w:val="10"/>
      </w:numPr>
    </w:pPr>
  </w:style>
  <w:style w:type="paragraph" w:styleId="PlainText">
    <w:name w:val="Plain Text"/>
    <w:basedOn w:val="Normal"/>
    <w:link w:val="PlainTextChar"/>
    <w:rsid w:val="00C31B7D"/>
    <w:rPr>
      <w:sz w:val="20"/>
    </w:rPr>
  </w:style>
  <w:style w:type="character" w:customStyle="1" w:styleId="PlainTextChar">
    <w:name w:val="Plain Text Char"/>
    <w:basedOn w:val="DefaultParagraphFont"/>
    <w:link w:val="PlainText"/>
    <w:rsid w:val="00C31B7D"/>
    <w:rPr>
      <w:rFonts w:ascii="Courier New" w:eastAsia="Times New Roman" w:hAnsi="Courier New" w:cs="Times New Roman"/>
      <w:sz w:val="20"/>
      <w:szCs w:val="20"/>
      <w:lang w:eastAsia="en-US"/>
    </w:rPr>
  </w:style>
  <w:style w:type="character" w:customStyle="1" w:styleId="MenuOption">
    <w:name w:val="Menu Option"/>
    <w:basedOn w:val="DefaultParagraphFont"/>
    <w:rsid w:val="00C31B7D"/>
    <w:rPr>
      <w:b/>
      <w:smallCaps/>
    </w:rPr>
  </w:style>
  <w:style w:type="paragraph" w:customStyle="1" w:styleId="TableListNumber">
    <w:name w:val="Table List Number"/>
    <w:basedOn w:val="ListNumber"/>
    <w:rsid w:val="00C31B7D"/>
    <w:pPr>
      <w:numPr>
        <w:numId w:val="0"/>
      </w:numPr>
    </w:pPr>
  </w:style>
  <w:style w:type="paragraph" w:styleId="TOC4">
    <w:name w:val="toc 4"/>
    <w:basedOn w:val="TOCBase"/>
    <w:next w:val="Normal"/>
    <w:semiHidden/>
    <w:rsid w:val="00C31B7D"/>
    <w:pPr>
      <w:tabs>
        <w:tab w:val="right" w:leader="dot" w:pos="9071"/>
      </w:tabs>
      <w:ind w:left="1701"/>
    </w:pPr>
  </w:style>
  <w:style w:type="paragraph" w:customStyle="1" w:styleId="ListAlpha">
    <w:name w:val="List Alpha"/>
    <w:basedOn w:val="List"/>
    <w:rsid w:val="00C31B7D"/>
    <w:pPr>
      <w:numPr>
        <w:numId w:val="8"/>
      </w:numPr>
    </w:pPr>
  </w:style>
  <w:style w:type="paragraph" w:customStyle="1" w:styleId="ListAlpha2">
    <w:name w:val="List Alpha 2"/>
    <w:basedOn w:val="List2"/>
    <w:rsid w:val="00C31B7D"/>
    <w:pPr>
      <w:numPr>
        <w:numId w:val="7"/>
      </w:numPr>
    </w:pPr>
  </w:style>
  <w:style w:type="paragraph" w:styleId="List2">
    <w:name w:val="List 2"/>
    <w:basedOn w:val="BodyText"/>
    <w:rsid w:val="00C31B7D"/>
    <w:pPr>
      <w:tabs>
        <w:tab w:val="left" w:pos="680"/>
      </w:tabs>
      <w:spacing w:before="60" w:after="60"/>
      <w:ind w:left="680" w:hanging="340"/>
    </w:pPr>
  </w:style>
  <w:style w:type="paragraph" w:styleId="List3">
    <w:name w:val="List 3"/>
    <w:basedOn w:val="BodyText"/>
    <w:rsid w:val="00C31B7D"/>
    <w:pPr>
      <w:tabs>
        <w:tab w:val="left" w:pos="1021"/>
      </w:tabs>
      <w:spacing w:before="60" w:after="60"/>
      <w:ind w:left="1020" w:hanging="340"/>
    </w:pPr>
  </w:style>
  <w:style w:type="paragraph" w:styleId="List4">
    <w:name w:val="List 4"/>
    <w:basedOn w:val="BodyText"/>
    <w:rsid w:val="00C31B7D"/>
    <w:pPr>
      <w:tabs>
        <w:tab w:val="left" w:pos="1361"/>
      </w:tabs>
      <w:spacing w:before="60" w:after="60"/>
      <w:ind w:left="1361" w:hanging="340"/>
    </w:pPr>
  </w:style>
  <w:style w:type="paragraph" w:styleId="List5">
    <w:name w:val="List 5"/>
    <w:basedOn w:val="BodyText"/>
    <w:rsid w:val="00C31B7D"/>
    <w:pPr>
      <w:tabs>
        <w:tab w:val="left" w:pos="1701"/>
      </w:tabs>
      <w:spacing w:before="60" w:after="60"/>
      <w:ind w:left="1701" w:hanging="340"/>
    </w:pPr>
  </w:style>
  <w:style w:type="paragraph" w:styleId="ListBullet3">
    <w:name w:val="List Bullet 3"/>
    <w:basedOn w:val="List3"/>
    <w:rsid w:val="00C31B7D"/>
    <w:pPr>
      <w:numPr>
        <w:numId w:val="13"/>
      </w:numPr>
      <w:tabs>
        <w:tab w:val="clear" w:pos="1021"/>
      </w:tabs>
      <w:ind w:left="1037" w:hanging="357"/>
    </w:pPr>
  </w:style>
  <w:style w:type="paragraph" w:styleId="ListBullet4">
    <w:name w:val="List Bullet 4"/>
    <w:basedOn w:val="List4"/>
    <w:rsid w:val="00C31B7D"/>
    <w:pPr>
      <w:numPr>
        <w:numId w:val="2"/>
      </w:numPr>
      <w:tabs>
        <w:tab w:val="clear" w:pos="1361"/>
      </w:tabs>
    </w:pPr>
  </w:style>
  <w:style w:type="paragraph" w:styleId="ListBullet5">
    <w:name w:val="List Bullet 5"/>
    <w:basedOn w:val="List5"/>
    <w:rsid w:val="00C31B7D"/>
    <w:pPr>
      <w:numPr>
        <w:numId w:val="3"/>
      </w:numPr>
    </w:pPr>
  </w:style>
  <w:style w:type="paragraph" w:styleId="ListContinue2">
    <w:name w:val="List Continue 2"/>
    <w:basedOn w:val="List2"/>
    <w:rsid w:val="00C31B7D"/>
    <w:pPr>
      <w:ind w:firstLine="0"/>
    </w:pPr>
  </w:style>
  <w:style w:type="paragraph" w:styleId="ListContinue3">
    <w:name w:val="List Continue 3"/>
    <w:basedOn w:val="List3"/>
    <w:rsid w:val="00C31B7D"/>
    <w:pPr>
      <w:ind w:left="1021" w:firstLine="0"/>
    </w:pPr>
  </w:style>
  <w:style w:type="paragraph" w:styleId="ListContinue4">
    <w:name w:val="List Continue 4"/>
    <w:basedOn w:val="List4"/>
    <w:rsid w:val="00C31B7D"/>
    <w:pPr>
      <w:ind w:firstLine="0"/>
    </w:pPr>
  </w:style>
  <w:style w:type="paragraph" w:styleId="ListContinue5">
    <w:name w:val="List Continue 5"/>
    <w:basedOn w:val="List5"/>
    <w:rsid w:val="00C31B7D"/>
    <w:pPr>
      <w:ind w:firstLine="0"/>
    </w:pPr>
  </w:style>
  <w:style w:type="paragraph" w:styleId="ListNumber3">
    <w:name w:val="List Number 3"/>
    <w:basedOn w:val="List3"/>
    <w:rsid w:val="00C31B7D"/>
    <w:pPr>
      <w:numPr>
        <w:numId w:val="4"/>
      </w:numPr>
    </w:pPr>
  </w:style>
  <w:style w:type="paragraph" w:styleId="ListNumber4">
    <w:name w:val="List Number 4"/>
    <w:basedOn w:val="List4"/>
    <w:rsid w:val="00C31B7D"/>
    <w:pPr>
      <w:numPr>
        <w:numId w:val="5"/>
      </w:numPr>
    </w:pPr>
  </w:style>
  <w:style w:type="paragraph" w:styleId="ListNumber5">
    <w:name w:val="List Number 5"/>
    <w:basedOn w:val="List5"/>
    <w:rsid w:val="00C31B7D"/>
    <w:pPr>
      <w:numPr>
        <w:numId w:val="6"/>
      </w:numPr>
    </w:pPr>
  </w:style>
  <w:style w:type="paragraph" w:styleId="BlockText">
    <w:name w:val="Block Text"/>
    <w:basedOn w:val="Normal"/>
    <w:rsid w:val="00C31B7D"/>
    <w:pPr>
      <w:spacing w:after="120"/>
      <w:ind w:left="1440" w:right="1440"/>
    </w:pPr>
  </w:style>
  <w:style w:type="character" w:customStyle="1" w:styleId="Subscript">
    <w:name w:val="Subscript"/>
    <w:basedOn w:val="DefaultParagraphFont"/>
    <w:rsid w:val="00C31B7D"/>
    <w:rPr>
      <w:sz w:val="16"/>
      <w:vertAlign w:val="subscript"/>
    </w:rPr>
  </w:style>
  <w:style w:type="character" w:customStyle="1" w:styleId="Superscript">
    <w:name w:val="Superscript"/>
    <w:basedOn w:val="DefaultParagraphFont"/>
    <w:rsid w:val="00C31B7D"/>
    <w:rPr>
      <w:sz w:val="16"/>
      <w:vertAlign w:val="superscript"/>
    </w:rPr>
  </w:style>
  <w:style w:type="character" w:customStyle="1" w:styleId="Symbols">
    <w:name w:val="Symbols"/>
    <w:basedOn w:val="DefaultParagraphFont"/>
    <w:rsid w:val="00C31B7D"/>
    <w:rPr>
      <w:rFonts w:ascii="Symbol" w:hAnsi="Symbol"/>
    </w:rPr>
  </w:style>
  <w:style w:type="character" w:customStyle="1" w:styleId="MenuOptions">
    <w:name w:val="Menu Options"/>
    <w:basedOn w:val="DefaultParagraphFont"/>
    <w:rsid w:val="00C31B7D"/>
    <w:rPr>
      <w:rFonts w:ascii="Arial Narrow" w:hAnsi="Arial Narrow"/>
      <w:smallCaps/>
    </w:rPr>
  </w:style>
  <w:style w:type="character" w:customStyle="1" w:styleId="Buttons">
    <w:name w:val="Buttons"/>
    <w:basedOn w:val="DefaultParagraphFont"/>
    <w:rsid w:val="00C31B7D"/>
    <w:rPr>
      <w:b/>
    </w:rPr>
  </w:style>
  <w:style w:type="character" w:customStyle="1" w:styleId="Underlined">
    <w:name w:val="Underlined"/>
    <w:basedOn w:val="DefaultParagraphFont"/>
    <w:rsid w:val="00C31B7D"/>
    <w:rPr>
      <w:u w:val="single"/>
    </w:rPr>
  </w:style>
  <w:style w:type="paragraph" w:customStyle="1" w:styleId="TableBodyTextRight">
    <w:name w:val="Table Body Text Right"/>
    <w:basedOn w:val="TableBodyText"/>
    <w:rsid w:val="00C31B7D"/>
    <w:pPr>
      <w:widowControl w:val="0"/>
      <w:autoSpaceDE w:val="0"/>
      <w:autoSpaceDN w:val="0"/>
      <w:adjustRightInd w:val="0"/>
      <w:jc w:val="right"/>
    </w:pPr>
    <w:rPr>
      <w:rFonts w:cs="Arial"/>
      <w:szCs w:val="18"/>
    </w:rPr>
  </w:style>
  <w:style w:type="paragraph" w:customStyle="1" w:styleId="CopyrightText">
    <w:name w:val="Copyright Text"/>
    <w:basedOn w:val="BodyText"/>
    <w:rsid w:val="00C31B7D"/>
    <w:rPr>
      <w:sz w:val="18"/>
    </w:rPr>
  </w:style>
  <w:style w:type="paragraph" w:customStyle="1" w:styleId="BodySmallRight">
    <w:name w:val="Body Small Right"/>
    <w:basedOn w:val="BodyTextRight"/>
    <w:rsid w:val="00C31B7D"/>
    <w:rPr>
      <w:sz w:val="18"/>
      <w:szCs w:val="18"/>
    </w:rPr>
  </w:style>
  <w:style w:type="paragraph" w:customStyle="1" w:styleId="MarginEdition">
    <w:name w:val="Margin Edition"/>
    <w:basedOn w:val="MarginNote"/>
    <w:rsid w:val="00C31B7D"/>
    <w:pPr>
      <w:spacing w:before="0" w:after="0"/>
    </w:pPr>
    <w:rPr>
      <w:rFonts w:ascii="Times New Roman" w:hAnsi="Times New Roman"/>
      <w:color w:val="999999"/>
    </w:rPr>
  </w:style>
  <w:style w:type="paragraph" w:customStyle="1" w:styleId="Spacer">
    <w:name w:val="Spacer"/>
    <w:basedOn w:val="Normal"/>
    <w:rsid w:val="00C31B7D"/>
    <w:rPr>
      <w:sz w:val="2"/>
      <w:szCs w:val="2"/>
    </w:rPr>
  </w:style>
  <w:style w:type="character" w:customStyle="1" w:styleId="Small">
    <w:name w:val="Small"/>
    <w:basedOn w:val="DefaultParagraphFont"/>
    <w:rsid w:val="00C31B7D"/>
    <w:rPr>
      <w:sz w:val="16"/>
    </w:rPr>
  </w:style>
  <w:style w:type="paragraph" w:customStyle="1" w:styleId="WideTable">
    <w:name w:val="Wide Table"/>
    <w:basedOn w:val="Normal"/>
    <w:rsid w:val="00C31B7D"/>
    <w:pPr>
      <w:ind w:left="-1418"/>
    </w:pPr>
    <w:rPr>
      <w:sz w:val="2"/>
      <w:szCs w:val="2"/>
    </w:rPr>
  </w:style>
  <w:style w:type="character" w:styleId="PageNumber">
    <w:name w:val="page number"/>
    <w:basedOn w:val="DefaultParagraphFont"/>
    <w:rsid w:val="00C31B7D"/>
  </w:style>
  <w:style w:type="paragraph" w:styleId="Quote">
    <w:name w:val="Quote"/>
    <w:basedOn w:val="Heading1"/>
    <w:link w:val="QuoteChar"/>
    <w:qFormat/>
    <w:rsid w:val="00C31B7D"/>
    <w:rPr>
      <w:b w:val="0"/>
      <w:sz w:val="72"/>
      <w:szCs w:val="72"/>
      <w:lang w:val="en-NZ"/>
    </w:rPr>
  </w:style>
  <w:style w:type="character" w:customStyle="1" w:styleId="QuoteChar">
    <w:name w:val="Quote Char"/>
    <w:basedOn w:val="DefaultParagraphFont"/>
    <w:link w:val="Quote"/>
    <w:rsid w:val="00C31B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1B7D"/>
    <w:pPr>
      <w:pageBreakBefore/>
    </w:pPr>
  </w:style>
  <w:style w:type="paragraph" w:customStyle="1" w:styleId="Border">
    <w:name w:val="Border"/>
    <w:basedOn w:val="Normal"/>
    <w:qFormat/>
    <w:rsid w:val="00C31B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1B7D"/>
    <w:rPr>
      <w:b/>
      <w:bCs/>
      <w:i/>
      <w:iCs/>
      <w:color w:val="auto"/>
    </w:rPr>
  </w:style>
  <w:style w:type="paragraph" w:styleId="IntenseQuote">
    <w:name w:val="Intense Quote"/>
    <w:basedOn w:val="Normal"/>
    <w:next w:val="Normal"/>
    <w:link w:val="IntenseQuoteChar"/>
    <w:uiPriority w:val="30"/>
    <w:qFormat/>
    <w:rsid w:val="00C31B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1B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1B7D"/>
    <w:rPr>
      <w:smallCaps/>
      <w:color w:val="auto"/>
      <w:u w:val="single"/>
    </w:rPr>
  </w:style>
  <w:style w:type="character" w:styleId="IntenseReference">
    <w:name w:val="Intense Reference"/>
    <w:basedOn w:val="DefaultParagraphFont"/>
    <w:uiPriority w:val="32"/>
    <w:qFormat/>
    <w:rsid w:val="00C31B7D"/>
    <w:rPr>
      <w:b/>
      <w:bCs/>
      <w:smallCaps/>
      <w:color w:val="auto"/>
      <w:spacing w:val="5"/>
      <w:u w:val="single"/>
    </w:rPr>
  </w:style>
  <w:style w:type="paragraph" w:customStyle="1" w:styleId="2ColumnHeading">
    <w:name w:val="2Column Heading"/>
    <w:basedOn w:val="BodyText"/>
    <w:qFormat/>
    <w:rsid w:val="00C31B7D"/>
    <w:pPr>
      <w:spacing w:after="60"/>
      <w:ind w:left="-2268"/>
    </w:pPr>
    <w:rPr>
      <w:b/>
    </w:rPr>
  </w:style>
  <w:style w:type="paragraph" w:customStyle="1" w:styleId="Heading1TOC">
    <w:name w:val="Heading1 TOC"/>
    <w:basedOn w:val="Normal"/>
    <w:qFormat/>
    <w:rsid w:val="00C31B7D"/>
    <w:pPr>
      <w:spacing w:before="240" w:after="120"/>
    </w:pPr>
    <w:rPr>
      <w:rFonts w:ascii="Times New Roman" w:hAnsi="Times New Roman"/>
      <w:b/>
      <w:sz w:val="32"/>
    </w:rPr>
  </w:style>
  <w:style w:type="paragraph" w:customStyle="1" w:styleId="Heading2TOC">
    <w:name w:val="Heading2 TOC"/>
    <w:basedOn w:val="Normal"/>
    <w:qFormat/>
    <w:rsid w:val="00C31B7D"/>
    <w:pPr>
      <w:spacing w:before="240" w:after="60"/>
    </w:pPr>
    <w:rPr>
      <w:rFonts w:ascii="Times New Roman" w:hAnsi="Times New Roman"/>
      <w:b/>
      <w:sz w:val="28"/>
    </w:rPr>
  </w:style>
  <w:style w:type="character" w:customStyle="1" w:styleId="Underline">
    <w:name w:val="Underline"/>
    <w:basedOn w:val="DefaultParagraphFont"/>
    <w:qFormat/>
    <w:rsid w:val="00C31B7D"/>
    <w:rPr>
      <w:u w:val="single"/>
    </w:rPr>
  </w:style>
  <w:style w:type="character" w:customStyle="1" w:styleId="BoldandItalics">
    <w:name w:val="Bold and Italics"/>
    <w:qFormat/>
    <w:rsid w:val="00C31B7D"/>
    <w:rPr>
      <w:b/>
      <w:i/>
      <w:u w:val="none"/>
    </w:rPr>
  </w:style>
  <w:style w:type="paragraph" w:styleId="BalloonText">
    <w:name w:val="Balloon Text"/>
    <w:basedOn w:val="Normal"/>
    <w:link w:val="BalloonTextChar"/>
    <w:rsid w:val="00C31B7D"/>
    <w:rPr>
      <w:rFonts w:ascii="Tahoma" w:hAnsi="Tahoma" w:cs="Tahoma"/>
      <w:sz w:val="16"/>
      <w:szCs w:val="16"/>
    </w:rPr>
  </w:style>
  <w:style w:type="character" w:customStyle="1" w:styleId="BalloonTextChar">
    <w:name w:val="Balloon Text Char"/>
    <w:basedOn w:val="DefaultParagraphFont"/>
    <w:link w:val="BalloonText"/>
    <w:rsid w:val="00C31B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1B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1B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1B7D"/>
    <w:rPr>
      <w:b/>
      <w:color w:val="660033"/>
      <w:spacing w:val="0"/>
    </w:rPr>
  </w:style>
  <w:style w:type="paragraph" w:customStyle="1" w:styleId="Nameditemlist">
    <w:name w:val="Named item list"/>
    <w:basedOn w:val="BodyText"/>
    <w:qFormat/>
    <w:rsid w:val="00C31B7D"/>
    <w:pPr>
      <w:tabs>
        <w:tab w:val="left" w:pos="2835"/>
      </w:tabs>
      <w:ind w:left="2835" w:hanging="2835"/>
    </w:pPr>
  </w:style>
  <w:style w:type="paragraph" w:customStyle="1" w:styleId="BodyTextnopadding">
    <w:name w:val="Body Text no padding"/>
    <w:basedOn w:val="BodyText"/>
    <w:qFormat/>
    <w:rsid w:val="00C31B7D"/>
    <w:pPr>
      <w:spacing w:before="0" w:after="0"/>
    </w:pPr>
  </w:style>
  <w:style w:type="paragraph" w:customStyle="1" w:styleId="BodyTextBold">
    <w:name w:val="Body Text Bold"/>
    <w:basedOn w:val="BodyText"/>
    <w:qFormat/>
    <w:rsid w:val="00C31B7D"/>
    <w:rPr>
      <w:b/>
    </w:rPr>
  </w:style>
  <w:style w:type="character" w:styleId="Hyperlink">
    <w:name w:val="Hyperlink"/>
    <w:basedOn w:val="DefaultParagraphFont"/>
    <w:uiPriority w:val="99"/>
    <w:unhideWhenUsed/>
    <w:rsid w:val="00B446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542</Words>
  <Characters>3388</Characters>
  <Application>Microsoft Office Word</Application>
  <DocSecurity>0</DocSecurity>
  <Lines>141</Lines>
  <Paragraphs>81</Paragraphs>
  <ScaleCrop>false</ScaleCrop>
  <Company>Author-it Software Corporation Ltd.</Company>
  <LinksUpToDate>false</LinksUpToDate>
  <CharactersWithSpaces>3849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CPCCBC4012 Read and interpret plans and specifications</dc:title>
  <dc:subject>Approved</dc:subject>
  <dc:creator>BuildSkills Australia</dc:creator>
  <cp:keywords>Release: 2</cp:keywords>
  <dc:description>Review Date: 12 April 2008</dc:description>
  <cp:lastModifiedBy>HSD_TPCMSd.prod</cp:lastModifiedBy>
  <cp:revision>3</cp:revision>
  <dcterms:created xsi:type="dcterms:W3CDTF">2025-02-11T06:45:00Z</dcterms:created>
  <dcterms:modified xsi:type="dcterms:W3CDTF">2025-02-11T06:45:00Z</dcterms:modified>
</cp:coreProperties>
</file>