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111" w:rsidP="00D57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CPCCBC4007 Plan building and construction work</w:t>
      </w:r>
      <w:r>
        <w:fldChar w:fldCharType="end"/>
      </w:r>
    </w:p>
    <w:p w:rsidR="00D57111" w:rsidP="00D57111">
      <w:pPr>
        <w:pStyle w:val="Version"/>
        <w:sectPr w:rsidSect="00441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41A12" w:rsidP="00441A12">
      <w:pPr>
        <w:pStyle w:val="SuperHeading"/>
      </w:pPr>
      <w:r w:rsidRPr="00441A12">
        <w:t>CPCCBC4007 Plan building and construction work</w:t>
      </w:r>
    </w:p>
    <w:p w:rsidR="00000000" w:rsidRPr="00441A12" w:rsidP="00441A12">
      <w:pPr>
        <w:pStyle w:val="Heading1"/>
      </w:pPr>
      <w:bookmarkStart w:id="1" w:name="O_1291709"/>
      <w:bookmarkEnd w:id="1"/>
      <w:r w:rsidRPr="00441A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Updated reference to general construction induction training program.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A12" w:rsidP="00441A12">
            <w:pPr>
              <w:pStyle w:val="BodyText"/>
            </w:pPr>
            <w:r w:rsidRPr="00441A12">
              <w:t>This version first released with CPC Construction, Plumbing and Services Training Package Release 5.1.</w:t>
            </w:r>
          </w:p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Performance Evidence formatted f</w:t>
            </w:r>
            <w:r w:rsidRPr="00441A12">
              <w:t>or clarity.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A12" w:rsidP="00441A12">
            <w:pPr>
              <w:pStyle w:val="BodyText"/>
            </w:pPr>
            <w:r w:rsidRPr="00441A12">
              <w:t>This version first released with CPC Construction, Plumbing and Services Training Package Release 5.0.</w:t>
            </w:r>
          </w:p>
          <w:p w:rsidR="00000000" w:rsidRPr="00441A12" w:rsidP="00441A12">
            <w:pPr>
              <w:pStyle w:val="BodyText"/>
            </w:pPr>
            <w:r w:rsidRPr="00441A12">
              <w:t>Supersedes and is equivalent to CPCCBC4007A Plan building or construction work. Minor change to title.</w:t>
            </w:r>
            <w:r w:rsidRPr="00441A12">
              <w:rPr>
                <w:rStyle w:val="SpecialBold"/>
              </w:rPr>
              <w:t xml:space="preserve">  </w:t>
            </w:r>
            <w:r w:rsidRPr="00441A12">
              <w:t>Updated to meet the Standa</w:t>
            </w:r>
            <w:r w:rsidRPr="00441A12">
              <w:t>rds for Training Packages 2012.</w:t>
            </w:r>
          </w:p>
        </w:tc>
      </w:tr>
    </w:tbl>
    <w:p w:rsidR="00000000" w:rsidRPr="00441A12" w:rsidP="00441A12">
      <w:pPr>
        <w:pStyle w:val="BodyText"/>
      </w:pPr>
    </w:p>
    <w:p w:rsidR="00000000" w:rsidRPr="00441A12" w:rsidP="00441A12">
      <w:pPr>
        <w:pStyle w:val="AllowPageBreak"/>
      </w:pPr>
    </w:p>
    <w:p w:rsidR="00000000" w:rsidRPr="00441A12" w:rsidP="00441A12">
      <w:pPr>
        <w:pStyle w:val="Heading1"/>
      </w:pPr>
      <w:bookmarkStart w:id="2" w:name="O_1291708"/>
      <w:bookmarkEnd w:id="2"/>
      <w:r w:rsidRPr="00441A12">
        <w:t>Application</w:t>
      </w:r>
    </w:p>
    <w:p w:rsidR="00000000" w:rsidRPr="00441A12" w:rsidP="00D57111">
      <w:pPr>
        <w:pStyle w:val="BodyText"/>
      </w:pPr>
      <w:r w:rsidRPr="00441A12">
        <w:t>This unit of competency specifies the skills and knowledge required to plan on-site activities, employ human resources and obtain physical resources. It includes sequencing construction tasks</w:t>
      </w:r>
      <w:r w:rsidRPr="00441A12">
        <w:t>, identifying appropriate skilled labour, physical resources and suppliers and assessing their availability, and developing documentation and advice for relevant authorities.</w:t>
      </w:r>
    </w:p>
    <w:p w:rsidR="00000000" w:rsidRPr="00441A12" w:rsidP="00D57111">
      <w:pPr>
        <w:pStyle w:val="BodyText"/>
      </w:pPr>
      <w:r w:rsidRPr="00441A12">
        <w:t>The unit of competency applies to those who decide on and arrange building and co</w:t>
      </w:r>
      <w:r w:rsidRPr="00441A12">
        <w:t xml:space="preserve">nstruction work for residential and commercial projects. </w:t>
      </w:r>
    </w:p>
    <w:p w:rsidR="00000000" w:rsidRPr="00441A12" w:rsidP="00D57111">
      <w:pPr>
        <w:pStyle w:val="BodyText"/>
      </w:pPr>
      <w:r w:rsidRPr="00441A12">
        <w:t>This unit of competency is suitable for builders, site managers, forepersons and other construction industry professionals using specialised knowledge to complete routine and non-routine tasks and u</w:t>
      </w:r>
      <w:r w:rsidRPr="00441A12">
        <w:t>sing their own judgement to deal with predictable and sometimes unpredictable problems.</w:t>
      </w:r>
    </w:p>
    <w:p w:rsidR="00000000" w:rsidRPr="00441A12" w:rsidP="00D57111">
      <w:pPr>
        <w:pStyle w:val="BodyText"/>
      </w:pPr>
      <w:r w:rsidRPr="00441A12">
        <w:t>Completion of the general construction induction training program specified by the model Code of Practice for Construction Work is required for any person who is to car</w:t>
      </w:r>
      <w:r w:rsidRPr="00441A12">
        <w:t>ry out construction work.  Achievement of</w:t>
      </w:r>
      <w:r w:rsidRPr="00441A12">
        <w:rPr>
          <w:rStyle w:val="Emphasis"/>
        </w:rPr>
        <w:t xml:space="preserve"> CPCWHS1001 Prepare to work safely in the construction industry </w:t>
      </w:r>
      <w:r w:rsidRPr="00441A12">
        <w:t>meets this requirement.</w:t>
      </w:r>
    </w:p>
    <w:p w:rsidR="00000000" w:rsidRPr="00441A12" w:rsidP="00D57111">
      <w:pPr>
        <w:pStyle w:val="BodyText"/>
      </w:pPr>
      <w:r w:rsidRPr="00441A12">
        <w:t>Licensing, regulatory or registration requirements apply to this unit of competency in some jurisdictions. Relevant state and t</w:t>
      </w:r>
      <w:r w:rsidRPr="00441A12">
        <w:t>erritory regulatory authorities should be consulted to confirm these requirements.</w:t>
      </w:r>
    </w:p>
    <w:p w:rsidR="00000000" w:rsidRPr="00441A12" w:rsidP="00441A12">
      <w:pPr>
        <w:pStyle w:val="Heading1"/>
      </w:pPr>
      <w:bookmarkStart w:id="3" w:name="O_1291707"/>
      <w:bookmarkEnd w:id="3"/>
      <w:r w:rsidRPr="00441A12">
        <w:t>Pre-requisite Unit</w:t>
      </w:r>
    </w:p>
    <w:p w:rsidR="00000000" w:rsidRPr="00441A12" w:rsidP="00D57111">
      <w:pPr>
        <w:pStyle w:val="BodyText"/>
      </w:pPr>
      <w:r w:rsidRPr="00441A12">
        <w:t>Nil.</w:t>
      </w:r>
    </w:p>
    <w:p w:rsidR="00000000" w:rsidRPr="00441A12" w:rsidP="00441A12">
      <w:pPr>
        <w:pStyle w:val="Heading1"/>
      </w:pPr>
      <w:bookmarkStart w:id="4" w:name="O_1291706"/>
      <w:bookmarkEnd w:id="4"/>
      <w:r w:rsidRPr="00441A12">
        <w:t>Unit Sector</w:t>
      </w:r>
    </w:p>
    <w:p w:rsidR="00000000" w:rsidRPr="00441A12" w:rsidP="00D57111">
      <w:pPr>
        <w:pStyle w:val="BodyText"/>
      </w:pPr>
      <w:r w:rsidRPr="00441A12">
        <w:t>Building and Construction</w:t>
      </w:r>
    </w:p>
    <w:p w:rsidR="00000000" w:rsidRPr="00441A12" w:rsidP="00441A12">
      <w:pPr>
        <w:pStyle w:val="Heading1"/>
      </w:pPr>
      <w:bookmarkStart w:id="5" w:name="O_1291705"/>
      <w:bookmarkEnd w:id="5"/>
      <w:r w:rsidRPr="00441A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Performance criteria describe what needs to be done to demonstrate achievement of the element.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Identify operational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Read contract documentation to identify any unusual aspects of construction</w:t>
            </w:r>
            <w:r w:rsidRPr="00441A12">
              <w:t xml:space="preserve">, use of materials or penalties. 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Determine availability of selected subcontractors to suit the job requirements.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Assess and confirm availability of materials with suppliers.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Identify site access requirements and limitations and organise site entry.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 xml:space="preserve">Determine project commencement date and prepare and submit documentation for authorities controlling construction work. 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Implement procedures for accepting and recording site deliveries.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Identify and implement relevant work health and safety (WHS) requirements.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Plan for construction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 xml:space="preserve">Identify organisational strategies for implementing construction operations. 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Review procedures for recording the hire of plant and equipment.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Review procedures for the removal of existing servi</w:t>
            </w:r>
            <w:r w:rsidRPr="00441A12">
              <w:t>ces and hazardous materials in accordance with Environment Protection Authority (EPA) requirements.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Prepare project schedule.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Sequence construction operations.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 xml:space="preserve">Create project schedule using appropriate technology. 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Define critical path of the project and revise during the life of the project.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Adjust project timeframes to account for anticipated delays.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Determine required resources.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Determine and document temporary services and site accommodation requirements.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Determine and document materials and plant requirements and availability dates according to contract documentation.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Determine and document on-site labour requirements according to contract documentation.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Prepare and submit condition reports.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Negotiate access to inspect condition of external structure and internal finishing of adjacent properties.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Compile and complete reports on the condition of existing buildings and structures on adjacent site boundaries.</w:t>
            </w:r>
          </w:p>
        </w:tc>
      </w:tr>
      <w:tr w:rsidTr="00441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A12">
            <w:pPr>
              <w:pStyle w:val="BodyText"/>
              <w:rPr>
                <w:lang w:val="en-NZ"/>
              </w:rPr>
            </w:pPr>
            <w:r w:rsidRPr="00441A12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A12" w:rsidP="00441A12">
            <w:pPr>
              <w:pStyle w:val="BodyText"/>
            </w:pPr>
            <w:r w:rsidRPr="00441A12">
              <w:t>Forward copies of condition reports to the owners of adjacent buildings prior to commencing construction.</w:t>
            </w:r>
          </w:p>
        </w:tc>
      </w:tr>
    </w:tbl>
    <w:p w:rsidR="00000000" w:rsidRPr="00441A12" w:rsidP="00441A12">
      <w:pPr>
        <w:pStyle w:val="BodyText"/>
      </w:pPr>
    </w:p>
    <w:p w:rsidR="00000000" w:rsidRPr="00441A12" w:rsidP="00441A12">
      <w:pPr>
        <w:pStyle w:val="AllowPageBreak"/>
      </w:pPr>
    </w:p>
    <w:p w:rsidR="00000000" w:rsidRPr="00441A12" w:rsidP="00441A12">
      <w:pPr>
        <w:pStyle w:val="Heading1"/>
      </w:pPr>
      <w:bookmarkStart w:id="6" w:name="O_1291704"/>
      <w:bookmarkEnd w:id="6"/>
      <w:r w:rsidRPr="00441A12">
        <w:t>Foundation Skills</w:t>
      </w:r>
    </w:p>
    <w:p w:rsidR="00000000" w:rsidRPr="00441A12" w:rsidP="00D57111">
      <w:pPr>
        <w:pStyle w:val="BodyText"/>
      </w:pPr>
      <w:r w:rsidRPr="00441A12">
        <w:t xml:space="preserve">As well as the foundation skills explicit in the performance criteria of this unit, candidates require: </w:t>
      </w:r>
    </w:p>
    <w:p w:rsidR="00000000" w:rsidRPr="00441A12" w:rsidP="00441A12">
      <w:pPr>
        <w:pStyle w:val="ListBullet"/>
      </w:pPr>
      <w:r w:rsidRPr="00441A12">
        <w:t>technology skills to:</w:t>
      </w:r>
    </w:p>
    <w:p w:rsidR="00000000" w:rsidRPr="00441A12" w:rsidP="00441A12">
      <w:pPr>
        <w:pStyle w:val="ListBullet2"/>
      </w:pPr>
      <w:r w:rsidRPr="00441A12">
        <w:t>use communication tools and devices to communicate and collaborate effectively with others</w:t>
      </w:r>
    </w:p>
    <w:p w:rsidR="00000000" w:rsidRPr="00441A12" w:rsidP="00441A12">
      <w:pPr>
        <w:pStyle w:val="ListBullet2"/>
      </w:pPr>
      <w:r w:rsidRPr="00441A12">
        <w:t>use equipment and programs to access and extract information and develop relevant project schedules and documentation.</w:t>
      </w:r>
    </w:p>
    <w:p w:rsidR="00000000" w:rsidRPr="00441A12" w:rsidP="00441A12">
      <w:pPr>
        <w:pStyle w:val="AllowPageBreak"/>
      </w:pPr>
    </w:p>
    <w:p w:rsidR="00000000" w:rsidRPr="00441A12" w:rsidP="00441A12">
      <w:pPr>
        <w:pStyle w:val="Heading1"/>
      </w:pPr>
      <w:bookmarkStart w:id="7" w:name="O_1291703"/>
      <w:bookmarkEnd w:id="7"/>
      <w:r w:rsidRPr="00441A12">
        <w:t>Unit Mapping Information</w:t>
      </w:r>
    </w:p>
    <w:p w:rsidR="00000000" w:rsidRPr="00441A12" w:rsidP="00D57111">
      <w:pPr>
        <w:pStyle w:val="BodyText"/>
      </w:pPr>
      <w:r w:rsidRPr="00441A12">
        <w:t>Supersedes and is equivalent to CPCCBC4007A Plan building or construction work</w:t>
      </w:r>
    </w:p>
    <w:p w:rsidR="00000000" w:rsidRPr="00441A12" w:rsidP="00441A12">
      <w:pPr>
        <w:pStyle w:val="Heading1"/>
      </w:pPr>
      <w:bookmarkStart w:id="8" w:name="O_1291710"/>
      <w:bookmarkEnd w:id="8"/>
      <w:r w:rsidRPr="00441A12">
        <w:t>Links</w:t>
      </w:r>
    </w:p>
    <w:p w:rsidR="00000000" w:rsidRPr="00441A12" w:rsidP="00D57111">
      <w:pPr>
        <w:pStyle w:val="BodyText"/>
      </w:pPr>
      <w:r w:rsidRPr="00441A1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83C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1A12" w:rsidP="00441A12"/>
    <w:sectPr w:rsidSect="00441A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12" w:rsidRPr="00D57111" w:rsidP="00D57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11" w:rsidP="00441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111" w:rsidP="00441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57111" w:rsidP="00441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A12" w:rsidRPr="00D57111" w:rsidP="00D571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11" w:rsidRPr="002D2AF8" w:rsidP="00441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CPCCBC4007 Plan building and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57111" w:rsidP="00441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4D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EE2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363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A12"/>
  </w:style>
  <w:style w:type="character" w:customStyle="1" w:styleId="Heading1Char">
    <w:name w:val="Heading 1 Char"/>
    <w:basedOn w:val="DefaultParagraphFont"/>
    <w:link w:val="Heading1"/>
    <w:rsid w:val="00441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A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A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A12"/>
    <w:rPr>
      <w:b/>
      <w:spacing w:val="0"/>
    </w:rPr>
  </w:style>
  <w:style w:type="paragraph" w:styleId="ListBullet2">
    <w:name w:val="List Bullet 2"/>
    <w:basedOn w:val="List2"/>
    <w:rsid w:val="00441A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1A12"/>
    <w:rPr>
      <w:i/>
    </w:rPr>
  </w:style>
  <w:style w:type="paragraph" w:customStyle="1" w:styleId="SuperHeading">
    <w:name w:val="SuperHeading"/>
    <w:basedOn w:val="Normal"/>
    <w:rsid w:val="00441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A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A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A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1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A12"/>
  </w:style>
  <w:style w:type="paragraph" w:styleId="TableofFigures">
    <w:name w:val="table of figures"/>
    <w:basedOn w:val="Normal"/>
    <w:next w:val="Normal"/>
    <w:semiHidden/>
    <w:rsid w:val="00441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A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1A12"/>
    <w:rPr>
      <w:rFonts w:ascii="Wingdings" w:hAnsi="Wingdings"/>
    </w:rPr>
  </w:style>
  <w:style w:type="paragraph" w:customStyle="1" w:styleId="TableHeading">
    <w:name w:val="Table Heading"/>
    <w:basedOn w:val="HeadingBase"/>
    <w:rsid w:val="00441A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A12"/>
    <w:rPr>
      <w:color w:val="0033CC"/>
      <w:u w:val="none"/>
    </w:rPr>
  </w:style>
  <w:style w:type="paragraph" w:customStyle="1" w:styleId="BodyTextRight">
    <w:name w:val="Body Text Right"/>
    <w:basedOn w:val="BodyText"/>
    <w:rsid w:val="00441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A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A12"/>
    <w:rPr>
      <w:sz w:val="32"/>
    </w:rPr>
  </w:style>
  <w:style w:type="paragraph" w:customStyle="1" w:styleId="HeadingProcedure">
    <w:name w:val="Heading Procedure"/>
    <w:basedOn w:val="HeadingBase"/>
    <w:next w:val="Normal"/>
    <w:rsid w:val="00441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A12"/>
    <w:pPr>
      <w:spacing w:before="60" w:after="60"/>
    </w:pPr>
  </w:style>
  <w:style w:type="paragraph" w:styleId="ListContinue">
    <w:name w:val="List Continue"/>
    <w:basedOn w:val="List"/>
    <w:rsid w:val="00441A12"/>
    <w:pPr>
      <w:ind w:firstLine="0"/>
    </w:pPr>
  </w:style>
  <w:style w:type="paragraph" w:customStyle="1" w:styleId="ListNote">
    <w:name w:val="List Note"/>
    <w:basedOn w:val="List"/>
    <w:rsid w:val="00441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A12"/>
    <w:rPr>
      <w:rFonts w:ascii="Courier New" w:hAnsi="Courier New"/>
    </w:rPr>
  </w:style>
  <w:style w:type="paragraph" w:customStyle="1" w:styleId="NoteBullet">
    <w:name w:val="Note Bullet"/>
    <w:basedOn w:val="Note"/>
    <w:rsid w:val="00441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A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1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A12"/>
    <w:rPr>
      <w:b/>
      <w:smallCaps/>
    </w:rPr>
  </w:style>
  <w:style w:type="paragraph" w:customStyle="1" w:styleId="TableListNumber">
    <w:name w:val="Table List Number"/>
    <w:basedOn w:val="ListNumber"/>
    <w:rsid w:val="00441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A12"/>
    <w:pPr>
      <w:numPr>
        <w:numId w:val="9"/>
      </w:numPr>
    </w:pPr>
  </w:style>
  <w:style w:type="paragraph" w:customStyle="1" w:styleId="ListAlpha2">
    <w:name w:val="List Alpha 2"/>
    <w:basedOn w:val="List2"/>
    <w:rsid w:val="00441A12"/>
    <w:pPr>
      <w:numPr>
        <w:numId w:val="8"/>
      </w:numPr>
    </w:pPr>
  </w:style>
  <w:style w:type="paragraph" w:styleId="List2">
    <w:name w:val="List 2"/>
    <w:basedOn w:val="BodyText"/>
    <w:rsid w:val="00441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A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A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A12"/>
    <w:pPr>
      <w:numPr>
        <w:numId w:val="4"/>
      </w:numPr>
    </w:pPr>
  </w:style>
  <w:style w:type="paragraph" w:styleId="ListContinue2">
    <w:name w:val="List Continue 2"/>
    <w:basedOn w:val="List2"/>
    <w:rsid w:val="00441A12"/>
    <w:pPr>
      <w:ind w:firstLine="0"/>
    </w:pPr>
  </w:style>
  <w:style w:type="paragraph" w:styleId="ListContinue3">
    <w:name w:val="List Continue 3"/>
    <w:basedOn w:val="List3"/>
    <w:rsid w:val="00441A12"/>
    <w:pPr>
      <w:ind w:left="1021" w:firstLine="0"/>
    </w:pPr>
  </w:style>
  <w:style w:type="paragraph" w:styleId="ListContinue4">
    <w:name w:val="List Continue 4"/>
    <w:basedOn w:val="List4"/>
    <w:rsid w:val="00441A12"/>
    <w:pPr>
      <w:ind w:firstLine="0"/>
    </w:pPr>
  </w:style>
  <w:style w:type="paragraph" w:styleId="ListContinue5">
    <w:name w:val="List Continue 5"/>
    <w:basedOn w:val="List5"/>
    <w:rsid w:val="00441A12"/>
    <w:pPr>
      <w:ind w:firstLine="0"/>
    </w:pPr>
  </w:style>
  <w:style w:type="paragraph" w:styleId="ListNumber3">
    <w:name w:val="List Number 3"/>
    <w:basedOn w:val="List3"/>
    <w:rsid w:val="00441A12"/>
    <w:pPr>
      <w:numPr>
        <w:numId w:val="5"/>
      </w:numPr>
    </w:pPr>
  </w:style>
  <w:style w:type="paragraph" w:styleId="ListNumber4">
    <w:name w:val="List Number 4"/>
    <w:basedOn w:val="List4"/>
    <w:rsid w:val="00441A12"/>
    <w:pPr>
      <w:numPr>
        <w:numId w:val="6"/>
      </w:numPr>
    </w:pPr>
  </w:style>
  <w:style w:type="paragraph" w:styleId="ListNumber5">
    <w:name w:val="List Number 5"/>
    <w:basedOn w:val="List5"/>
    <w:rsid w:val="00441A12"/>
    <w:pPr>
      <w:numPr>
        <w:numId w:val="7"/>
      </w:numPr>
    </w:pPr>
  </w:style>
  <w:style w:type="paragraph" w:styleId="BlockText">
    <w:name w:val="Block Text"/>
    <w:basedOn w:val="Normal"/>
    <w:rsid w:val="00441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A12"/>
    <w:rPr>
      <w:sz w:val="16"/>
      <w:vertAlign w:val="superscript"/>
    </w:rPr>
  </w:style>
  <w:style w:type="character" w:customStyle="1" w:styleId="Symbols">
    <w:name w:val="Symbols"/>
    <w:basedOn w:val="DefaultParagraphFont"/>
    <w:rsid w:val="00441A12"/>
    <w:rPr>
      <w:rFonts w:ascii="Symbol" w:hAnsi="Symbol"/>
    </w:rPr>
  </w:style>
  <w:style w:type="character" w:customStyle="1" w:styleId="MenuOptions">
    <w:name w:val="Menu Options"/>
    <w:basedOn w:val="DefaultParagraphFont"/>
    <w:rsid w:val="00441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A12"/>
    <w:rPr>
      <w:b/>
    </w:rPr>
  </w:style>
  <w:style w:type="character" w:customStyle="1" w:styleId="Underlined">
    <w:name w:val="Underlined"/>
    <w:basedOn w:val="DefaultParagraphFont"/>
    <w:rsid w:val="00441A12"/>
    <w:rPr>
      <w:u w:val="single"/>
    </w:rPr>
  </w:style>
  <w:style w:type="paragraph" w:customStyle="1" w:styleId="TableBodyTextRight">
    <w:name w:val="Table Body Text Right"/>
    <w:basedOn w:val="TableBodyText"/>
    <w:rsid w:val="00441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A12"/>
    <w:rPr>
      <w:sz w:val="18"/>
    </w:rPr>
  </w:style>
  <w:style w:type="paragraph" w:customStyle="1" w:styleId="BodySmallRight">
    <w:name w:val="Body Small Right"/>
    <w:basedOn w:val="BodyTextRight"/>
    <w:rsid w:val="00441A12"/>
    <w:rPr>
      <w:sz w:val="18"/>
      <w:szCs w:val="18"/>
    </w:rPr>
  </w:style>
  <w:style w:type="paragraph" w:customStyle="1" w:styleId="MarginEdition">
    <w:name w:val="Margin Edition"/>
    <w:basedOn w:val="MarginNote"/>
    <w:rsid w:val="00441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A12"/>
    <w:rPr>
      <w:sz w:val="2"/>
      <w:szCs w:val="2"/>
    </w:rPr>
  </w:style>
  <w:style w:type="character" w:customStyle="1" w:styleId="Small">
    <w:name w:val="Small"/>
    <w:basedOn w:val="DefaultParagraphFont"/>
    <w:rsid w:val="00441A12"/>
    <w:rPr>
      <w:sz w:val="16"/>
    </w:rPr>
  </w:style>
  <w:style w:type="paragraph" w:customStyle="1" w:styleId="WideTable">
    <w:name w:val="Wide Table"/>
    <w:basedOn w:val="Normal"/>
    <w:rsid w:val="00441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A12"/>
  </w:style>
  <w:style w:type="paragraph" w:styleId="Quote">
    <w:name w:val="Quote"/>
    <w:basedOn w:val="Heading1"/>
    <w:link w:val="QuoteChar"/>
    <w:qFormat/>
    <w:rsid w:val="00441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A12"/>
    <w:pPr>
      <w:pageBreakBefore/>
    </w:pPr>
  </w:style>
  <w:style w:type="paragraph" w:customStyle="1" w:styleId="Border">
    <w:name w:val="Border"/>
    <w:basedOn w:val="Normal"/>
    <w:qFormat/>
    <w:rsid w:val="00441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A12"/>
    <w:rPr>
      <w:u w:val="single"/>
    </w:rPr>
  </w:style>
  <w:style w:type="character" w:customStyle="1" w:styleId="BoldandItalics">
    <w:name w:val="Bold and Italics"/>
    <w:qFormat/>
    <w:rsid w:val="00441A12"/>
    <w:rPr>
      <w:b/>
      <w:i/>
      <w:u w:val="none"/>
    </w:rPr>
  </w:style>
  <w:style w:type="paragraph" w:styleId="BalloonText">
    <w:name w:val="Balloon Text"/>
    <w:basedOn w:val="Normal"/>
    <w:link w:val="BalloonTextChar"/>
    <w:rsid w:val="00441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A12"/>
    <w:pPr>
      <w:spacing w:before="0" w:after="0"/>
    </w:pPr>
  </w:style>
  <w:style w:type="paragraph" w:customStyle="1" w:styleId="BodyTextBold">
    <w:name w:val="Body Text Bold"/>
    <w:basedOn w:val="BodyText"/>
    <w:qFormat/>
    <w:rsid w:val="00441A12"/>
    <w:rPr>
      <w:b/>
    </w:rPr>
  </w:style>
  <w:style w:type="character" w:styleId="Hyperlink">
    <w:name w:val="Hyperlink"/>
    <w:basedOn w:val="DefaultParagraphFont"/>
    <w:uiPriority w:val="99"/>
    <w:unhideWhenUsed/>
    <w:rsid w:val="00D57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4353</Characters>
  <Application>Microsoft Office Word</Application>
  <DocSecurity>0</DocSecurity>
  <Lines>189</Lines>
  <Paragraphs>100</Paragraphs>
  <ScaleCrop>false</ScaleCrop>
  <Company>Author-it Software Corporation Ltd.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CPCCBC4007 Plan building and construction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