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414" w:rsidP="00501414">
      <w:pPr>
        <w:pStyle w:val="Title"/>
      </w:pPr>
      <w:r>
        <w:fldChar w:fldCharType="begin"/>
      </w:r>
      <w:r>
        <w:instrText xml:space="preserve"> TITLE   \* MERGEFORMAT </w:instrText>
      </w:r>
      <w:r>
        <w:fldChar w:fldCharType="separate"/>
      </w:r>
      <w:r>
        <w:t>CPC33020 Certificate III in Bricklaying and Blocklaying</w:t>
      </w:r>
      <w:r>
        <w:fldChar w:fldCharType="end"/>
      </w:r>
    </w:p>
    <w:p w:rsidR="00501414" w:rsidP="00501414">
      <w:pPr>
        <w:pStyle w:val="Version"/>
        <w:sectPr w:rsidSect="008B4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8B4D97" w:rsidP="008B4D97">
      <w:pPr>
        <w:pStyle w:val="SuperHeading"/>
      </w:pPr>
      <w:r w:rsidRPr="008B4D97">
        <w:t>CPC33020 Certificate III in Bricklaying and Blocklaying</w:t>
      </w:r>
    </w:p>
    <w:p w:rsidR="00000000" w:rsidRPr="008B4D97" w:rsidP="008B4D97">
      <w:pPr>
        <w:pStyle w:val="Heading1"/>
      </w:pPr>
      <w:bookmarkStart w:id="1" w:name="O_1296171"/>
      <w:bookmarkEnd w:id="1"/>
      <w:r w:rsidRPr="008B4D97">
        <w:t>Modification History</w:t>
      </w:r>
    </w:p>
    <w:tbl>
      <w:tblPr>
        <w:tblW w:w="0" w:type="auto"/>
        <w:tblLayout w:type="fixed"/>
        <w:tblCellMar>
          <w:left w:w="62" w:type="dxa"/>
          <w:right w:w="62" w:type="dxa"/>
        </w:tblCellMar>
        <w:tblLook w:val="0000"/>
      </w:tblPr>
      <w:tblGrid>
        <w:gridCol w:w="1128"/>
        <w:gridCol w:w="7944"/>
      </w:tblGrid>
      <w:tr w:rsidTr="008B4D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Release 5</w:t>
            </w:r>
          </w:p>
        </w:tc>
        <w:tc>
          <w:tcPr>
            <w:tcW w:w="7944"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Updated reference to general construction induction training program.</w:t>
            </w:r>
          </w:p>
        </w:tc>
      </w:tr>
      <w:tr w:rsidTr="008B4D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Release 4</w:t>
            </w:r>
          </w:p>
        </w:tc>
        <w:tc>
          <w:tcPr>
            <w:tcW w:w="7944" w:type="dxa"/>
            <w:tcBorders>
              <w:top w:val="nil"/>
              <w:left w:val="nil"/>
              <w:bottom w:val="nil"/>
              <w:right w:val="nil"/>
            </w:tcBorders>
            <w:tcMar>
              <w:top w:w="0" w:type="dxa"/>
              <w:left w:w="62" w:type="dxa"/>
              <w:bottom w:w="0" w:type="dxa"/>
              <w:right w:w="62" w:type="dxa"/>
            </w:tcMar>
          </w:tcPr>
          <w:p w:rsidR="00000000" w:rsidRPr="008B4D97" w:rsidP="008B4D97">
            <w:pPr>
              <w:pStyle w:val="BodyText"/>
            </w:pPr>
            <w:r w:rsidRPr="008B4D97">
              <w:t>This version first released with CPC Construction, Plumbing and Services Training Package Release 6.6.</w:t>
            </w:r>
          </w:p>
          <w:p w:rsidR="00000000" w:rsidP="008B4D97">
            <w:pPr>
              <w:pStyle w:val="BodyText"/>
              <w:rPr>
                <w:lang w:val="en-NZ"/>
              </w:rPr>
            </w:pPr>
            <w:r w:rsidRPr="008B4D97">
              <w:t>Imported unit AHCLSC307</w:t>
            </w:r>
            <w:r w:rsidRPr="008B4D97">
              <w:t xml:space="preserve"> Implement a retaining wall project updated to the latest, equivalent release, AHCLSC319 Implement a retaining wall project.</w:t>
            </w:r>
          </w:p>
        </w:tc>
      </w:tr>
      <w:tr w:rsidTr="008B4D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Release 3</w:t>
            </w:r>
          </w:p>
        </w:tc>
        <w:tc>
          <w:tcPr>
            <w:tcW w:w="7944" w:type="dxa"/>
            <w:tcBorders>
              <w:top w:val="nil"/>
              <w:left w:val="nil"/>
              <w:bottom w:val="nil"/>
              <w:right w:val="nil"/>
            </w:tcBorders>
            <w:tcMar>
              <w:top w:w="0" w:type="dxa"/>
              <w:left w:w="62" w:type="dxa"/>
              <w:bottom w:w="0" w:type="dxa"/>
              <w:right w:w="62" w:type="dxa"/>
            </w:tcMar>
          </w:tcPr>
          <w:p w:rsidR="00000000" w:rsidRPr="008B4D97" w:rsidP="008B4D97">
            <w:pPr>
              <w:pStyle w:val="BodyText"/>
            </w:pPr>
            <w:r w:rsidRPr="008B4D97">
              <w:t>This version first released with CPC Construction, Plumbing and Services Training Package Release 6.3.</w:t>
            </w:r>
          </w:p>
          <w:p w:rsidR="00000000" w:rsidRPr="008B4D97" w:rsidP="008B4D97">
            <w:pPr>
              <w:pStyle w:val="BodyText"/>
            </w:pPr>
            <w:r w:rsidRPr="008B4D97">
              <w:t>Removal of prereq</w:t>
            </w:r>
            <w:r w:rsidRPr="008B4D97">
              <w:t>uisite asterisks from units:</w:t>
            </w:r>
          </w:p>
          <w:p w:rsidR="00000000" w:rsidRPr="008B4D97" w:rsidP="008B4D97">
            <w:pPr>
              <w:pStyle w:val="ListBullet"/>
            </w:pPr>
            <w:r w:rsidRPr="008B4D97">
              <w:t>CPCCOM1012 Work effectively and sustainably in the construction industry</w:t>
            </w:r>
          </w:p>
          <w:p w:rsidR="00000000" w:rsidRPr="008B4D97" w:rsidP="008B4D97">
            <w:pPr>
              <w:pStyle w:val="ListBullet"/>
            </w:pPr>
            <w:r w:rsidRPr="008B4D97">
              <w:t>CPCCOM1013 Plan and organise work</w:t>
            </w:r>
          </w:p>
          <w:p w:rsidR="00000000" w:rsidRPr="008B4D97" w:rsidP="008B4D97">
            <w:pPr>
              <w:pStyle w:val="ListBullet"/>
            </w:pPr>
            <w:r w:rsidRPr="008B4D97">
              <w:t>CPCCOM1014 Conduct workplace communication.</w:t>
            </w:r>
          </w:p>
          <w:p w:rsidR="00000000" w:rsidP="008B4D97">
            <w:pPr>
              <w:pStyle w:val="BodyText"/>
              <w:rPr>
                <w:lang w:val="en-NZ"/>
              </w:rPr>
            </w:pPr>
            <w:r w:rsidRPr="008B4D97">
              <w:t>Unit CPCCOM2001 Read and interpret pla</w:t>
            </w:r>
            <w:r w:rsidRPr="008B4D97">
              <w:t>ns and specifications marked with an asterisk as a prerequisite requirement must be met.</w:t>
            </w:r>
          </w:p>
        </w:tc>
      </w:tr>
      <w:tr w:rsidTr="008B4D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Release 2</w:t>
            </w:r>
          </w:p>
        </w:tc>
        <w:tc>
          <w:tcPr>
            <w:tcW w:w="7944" w:type="dxa"/>
            <w:tcBorders>
              <w:top w:val="nil"/>
              <w:left w:val="nil"/>
              <w:bottom w:val="nil"/>
              <w:right w:val="nil"/>
            </w:tcBorders>
            <w:tcMar>
              <w:top w:w="0" w:type="dxa"/>
              <w:left w:w="62" w:type="dxa"/>
              <w:bottom w:w="0" w:type="dxa"/>
              <w:right w:w="62" w:type="dxa"/>
            </w:tcMar>
          </w:tcPr>
          <w:p w:rsidR="00000000" w:rsidRPr="008B4D97" w:rsidP="008B4D97">
            <w:pPr>
              <w:pStyle w:val="BodyText"/>
            </w:pPr>
            <w:r w:rsidRPr="008B4D97">
              <w:t>This version first released with CPC Construction, Plumbing and Services Training Package Release 5.1.</w:t>
            </w:r>
          </w:p>
          <w:p w:rsidR="00000000" w:rsidP="008B4D97">
            <w:pPr>
              <w:pStyle w:val="BodyText"/>
              <w:rPr>
                <w:lang w:val="en-NZ"/>
              </w:rPr>
            </w:pPr>
            <w:r w:rsidRPr="008B4D97">
              <w:t>Title change in unit list for CPCCBL3017 Carry out tu</w:t>
            </w:r>
            <w:r w:rsidRPr="008B4D97">
              <w:t>ck pointing brickwork.</w:t>
            </w:r>
          </w:p>
        </w:tc>
      </w:tr>
      <w:tr w:rsidTr="008B4D9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Release 1</w:t>
            </w:r>
          </w:p>
        </w:tc>
        <w:tc>
          <w:tcPr>
            <w:tcW w:w="7944" w:type="dxa"/>
            <w:tcBorders>
              <w:top w:val="nil"/>
              <w:left w:val="nil"/>
              <w:bottom w:val="nil"/>
              <w:right w:val="nil"/>
            </w:tcBorders>
            <w:tcMar>
              <w:top w:w="0" w:type="dxa"/>
              <w:left w:w="62" w:type="dxa"/>
              <w:bottom w:w="0" w:type="dxa"/>
              <w:right w:w="62" w:type="dxa"/>
            </w:tcMar>
          </w:tcPr>
          <w:p w:rsidR="00000000" w:rsidRPr="008B4D97" w:rsidP="008B4D97">
            <w:pPr>
              <w:pStyle w:val="BodyText"/>
            </w:pPr>
            <w:r w:rsidRPr="008B4D97">
              <w:t>This version first released with CPC Construction, Plumbing and Services Training Package Release 5.0.</w:t>
            </w:r>
          </w:p>
          <w:p w:rsidR="00000000" w:rsidRPr="008B4D97" w:rsidP="008B4D97">
            <w:pPr>
              <w:pStyle w:val="BodyText"/>
            </w:pPr>
            <w:r w:rsidRPr="008B4D97">
              <w:t>Supersedes and is equivalent to CPC30111 Certificate III in Bricklaying/Blocklaying.</w:t>
            </w:r>
          </w:p>
        </w:tc>
      </w:tr>
    </w:tbl>
    <w:p w:rsidR="00000000" w:rsidRPr="008B4D97" w:rsidP="008B4D97">
      <w:pPr>
        <w:pStyle w:val="BodyText"/>
      </w:pPr>
    </w:p>
    <w:p w:rsidR="00000000" w:rsidRPr="008B4D97" w:rsidP="008B4D97">
      <w:pPr>
        <w:pStyle w:val="AllowPageBreak"/>
      </w:pPr>
    </w:p>
    <w:p w:rsidR="00000000" w:rsidRPr="008B4D97" w:rsidP="008B4D97">
      <w:pPr>
        <w:pStyle w:val="Heading1"/>
      </w:pPr>
      <w:bookmarkStart w:id="2" w:name="O_1296170"/>
      <w:bookmarkEnd w:id="2"/>
      <w:r w:rsidRPr="008B4D97">
        <w:t>Qualification Description</w:t>
      </w:r>
    </w:p>
    <w:p w:rsidR="00000000" w:rsidRPr="008B4D97" w:rsidP="00501414">
      <w:pPr>
        <w:pStyle w:val="BodyText"/>
      </w:pPr>
      <w:r w:rsidRPr="008B4D97">
        <w:t>This qualification reflects the trade qualified role of a bricklayer, blocklayer or paver who may have responsibility for undertaking heritage bricklaying, refractory bricklaying, bricklaying, blocklaying and paving work in reside</w:t>
      </w:r>
      <w:r w:rsidRPr="008B4D97">
        <w:t xml:space="preserve">ntial, industrial and commercial contexts, in both existing and new constructions. </w:t>
      </w:r>
    </w:p>
    <w:p w:rsidR="00000000" w:rsidRPr="008B4D97" w:rsidP="00501414">
      <w:pPr>
        <w:pStyle w:val="BodyText"/>
      </w:pPr>
      <w:r w:rsidRPr="008B4D97">
        <w:t>Occupational titles could include:</w:t>
      </w:r>
    </w:p>
    <w:p w:rsidR="00000000" w:rsidRPr="008B4D97" w:rsidP="008B4D97">
      <w:pPr>
        <w:pStyle w:val="ListBullet"/>
      </w:pPr>
      <w:r w:rsidRPr="008B4D97">
        <w:t>Bricklayer</w:t>
      </w:r>
    </w:p>
    <w:p w:rsidR="00000000" w:rsidRPr="008B4D97" w:rsidP="008B4D97">
      <w:pPr>
        <w:pStyle w:val="ListBullet"/>
      </w:pPr>
      <w:r w:rsidRPr="008B4D97">
        <w:t>Blocklayer</w:t>
      </w:r>
    </w:p>
    <w:p w:rsidR="00000000" w:rsidRPr="008B4D97" w:rsidP="008B4D97">
      <w:pPr>
        <w:pStyle w:val="ListBullet"/>
      </w:pPr>
      <w:r w:rsidRPr="008B4D97">
        <w:t>Paver.</w:t>
      </w:r>
    </w:p>
    <w:p w:rsidR="00000000" w:rsidRPr="008B4D97" w:rsidP="00501414">
      <w:pPr>
        <w:pStyle w:val="BodyText"/>
      </w:pPr>
      <w:r w:rsidRPr="008B4D97">
        <w:t>The bricklaying, blocklaying and paving industry strongly affirms that training and assessment leading to r</w:t>
      </w:r>
      <w:r w:rsidRPr="008B4D97">
        <w:t>ecognition of skills must be undertaken in a real or closely simulated workplace environment and this qualification requires all units of competency to be delivered and assessed in this context.</w:t>
      </w:r>
    </w:p>
    <w:p w:rsidR="00000000" w:rsidRPr="008B4D97" w:rsidP="00501414">
      <w:pPr>
        <w:pStyle w:val="BodyText"/>
      </w:pPr>
      <w:r w:rsidRPr="008B4D97">
        <w:t>Licensing, legislative, regulatory and certification requirem</w:t>
      </w:r>
      <w:r w:rsidRPr="008B4D97">
        <w:t>ents vary between states. Relevant state and territory regulatory authorities should be consulted to confirm those requirements.</w:t>
      </w:r>
    </w:p>
    <w:p w:rsidR="00000000" w:rsidRPr="008B4D97" w:rsidP="00501414">
      <w:pPr>
        <w:pStyle w:val="BodyText"/>
      </w:pPr>
      <w:r w:rsidRPr="008B4D97">
        <w:t>Completion of the general construction induction training program, specified in the Safe Work Australia model </w:t>
      </w:r>
      <w:r w:rsidRPr="008B4D97">
        <w:rPr>
          <w:rStyle w:val="Emphasis"/>
        </w:rPr>
        <w:t>Code of Practice:</w:t>
      </w:r>
      <w:r w:rsidRPr="008B4D97">
        <w:rPr>
          <w:rStyle w:val="Emphasis"/>
        </w:rPr>
        <w:t xml:space="preserve"> Construction Work</w:t>
      </w:r>
      <w:r w:rsidRPr="008B4D97">
        <w:t xml:space="preserve">, is required by anyone carrying out construction work. Achievement of </w:t>
      </w:r>
      <w:r w:rsidRPr="008B4D97">
        <w:rPr>
          <w:rStyle w:val="Emphasis"/>
        </w:rPr>
        <w:t>CPCWHS1001</w:t>
      </w:r>
      <w:r w:rsidRPr="008B4D97">
        <w:t> </w:t>
      </w:r>
      <w:r w:rsidRPr="008B4D97">
        <w:rPr>
          <w:rStyle w:val="Emphasis"/>
        </w:rPr>
        <w:t>Prepare to work safely in the construction industry</w:t>
      </w:r>
      <w:r w:rsidRPr="008B4D97">
        <w:t> meets this requirement.</w:t>
      </w:r>
    </w:p>
    <w:p w:rsidR="00000000" w:rsidRPr="008B4D97" w:rsidP="008B4D97">
      <w:pPr>
        <w:pStyle w:val="Heading1"/>
      </w:pPr>
      <w:bookmarkStart w:id="3" w:name="O_1296169"/>
      <w:bookmarkEnd w:id="3"/>
      <w:r w:rsidRPr="008B4D97">
        <w:t>Entry Requirements</w:t>
      </w:r>
    </w:p>
    <w:p w:rsidR="00000000" w:rsidRPr="008B4D97" w:rsidP="00501414">
      <w:pPr>
        <w:pStyle w:val="BodyText"/>
      </w:pPr>
      <w:r w:rsidRPr="008B4D97">
        <w:t>There are no entry requirements for this q</w:t>
      </w:r>
      <w:r w:rsidRPr="008B4D97">
        <w:t>ualification.</w:t>
      </w:r>
    </w:p>
    <w:p w:rsidR="00000000" w:rsidRPr="008B4D97" w:rsidP="008B4D97">
      <w:pPr>
        <w:pStyle w:val="Heading1"/>
      </w:pPr>
      <w:bookmarkStart w:id="4" w:name="O_1296168"/>
      <w:bookmarkEnd w:id="4"/>
      <w:r w:rsidRPr="008B4D97">
        <w:t>Packaging Rules</w:t>
      </w:r>
    </w:p>
    <w:p w:rsidR="00000000" w:rsidRPr="008B4D97" w:rsidP="00501414">
      <w:pPr>
        <w:pStyle w:val="BodyText"/>
      </w:pPr>
      <w:r w:rsidRPr="008B4D97">
        <w:t>This qualification has core units and elective units of competency that cover the skills and knowledge of three specialist groups, and general electives:</w:t>
      </w:r>
    </w:p>
    <w:p w:rsidR="00000000" w:rsidRPr="008B4D97" w:rsidP="008B4D97">
      <w:pPr>
        <w:pStyle w:val="ListBullet"/>
      </w:pPr>
      <w:r w:rsidRPr="008B4D97">
        <w:t>Group A - Traditional and heritage bricklaying</w:t>
      </w:r>
    </w:p>
    <w:p w:rsidR="00000000" w:rsidRPr="008B4D97" w:rsidP="008B4D97">
      <w:pPr>
        <w:pStyle w:val="ListBullet"/>
      </w:pPr>
      <w:r w:rsidRPr="008B4D97">
        <w:t>Group</w:t>
      </w:r>
      <w:r w:rsidRPr="008B4D97">
        <w:t xml:space="preserve"> B - Refractory Bricklaying</w:t>
      </w:r>
    </w:p>
    <w:p w:rsidR="00000000" w:rsidRPr="008B4D97" w:rsidP="008B4D97">
      <w:pPr>
        <w:pStyle w:val="ListBullet"/>
      </w:pPr>
      <w:r w:rsidRPr="008B4D97">
        <w:t>Group C - Paving</w:t>
      </w:r>
    </w:p>
    <w:p w:rsidR="00000000" w:rsidRPr="008B4D97" w:rsidP="00501414">
      <w:pPr>
        <w:pStyle w:val="BodyText"/>
      </w:pPr>
      <w:r w:rsidRPr="008B4D97">
        <w:t>To achieve this qualification, competency must be demonstrated in:</w:t>
      </w:r>
    </w:p>
    <w:p w:rsidR="00000000" w:rsidRPr="008B4D97" w:rsidP="008B4D97">
      <w:pPr>
        <w:pStyle w:val="ListBullet"/>
      </w:pPr>
      <w:r w:rsidRPr="008B4D97">
        <w:t>28 units of competency:</w:t>
      </w:r>
    </w:p>
    <w:p w:rsidR="00000000" w:rsidRPr="008B4D97" w:rsidP="008B4D97">
      <w:pPr>
        <w:pStyle w:val="ListBullet2"/>
      </w:pPr>
      <w:r w:rsidRPr="008B4D97">
        <w:t>20 core units</w:t>
      </w:r>
    </w:p>
    <w:p w:rsidR="00000000" w:rsidRPr="008B4D97" w:rsidP="008B4D97">
      <w:pPr>
        <w:pStyle w:val="ListBullet2"/>
      </w:pPr>
      <w:r w:rsidRPr="008B4D97">
        <w:t>8 elective units.</w:t>
      </w:r>
    </w:p>
    <w:p w:rsidR="00000000" w:rsidRPr="008B4D97" w:rsidP="008B4D97">
      <w:pPr>
        <w:pStyle w:val="ListBullet"/>
      </w:pPr>
      <w:r w:rsidRPr="008B4D97">
        <w:t xml:space="preserve">the elective units can be selected, once only, from any of the groups listed below. </w:t>
      </w:r>
    </w:p>
    <w:p w:rsidR="00000000" w:rsidRPr="008B4D97" w:rsidP="008B4D97">
      <w:pPr>
        <w:pStyle w:val="ListBullet"/>
      </w:pPr>
      <w:r w:rsidRPr="008B4D97">
        <w:t>up to two elective units can be selected from any Training Package and or accredited course, as long as they contribute to a valid, industry-supported vocational outcome and support the AQF level of this qualification.</w:t>
      </w:r>
    </w:p>
    <w:p w:rsidR="00000000" w:rsidRPr="008B4D97" w:rsidP="00501414">
      <w:pPr>
        <w:pStyle w:val="Heading3"/>
      </w:pPr>
      <w:r w:rsidRPr="008B4D97">
        <w:rPr>
          <w:rStyle w:val="SpecialBold"/>
        </w:rPr>
        <w:t>Prerequisite units</w:t>
      </w:r>
    </w:p>
    <w:p w:rsidR="00000000" w:rsidRPr="008B4D97" w:rsidP="00501414">
      <w:pPr>
        <w:pStyle w:val="BodyText"/>
      </w:pPr>
      <w:r w:rsidRPr="008B4D97">
        <w:t>An asterisk (*) ag</w:t>
      </w:r>
      <w:r w:rsidRPr="008B4D97">
        <w:t>ainst a unit code below indicates that there is a prerequisite requirement that must be met. Prerequisite unit(s) must be assessed before assessment of any unit of competency with an asterisk. Check the unit of competency for information on specific prereq</w:t>
      </w:r>
      <w:r w:rsidRPr="008B4D97">
        <w:t>uisite requirements. All prerequisite requirements are packaged in the qualification.</w:t>
      </w:r>
    </w:p>
    <w:tbl>
      <w:tblPr>
        <w:tblW w:w="0" w:type="auto"/>
        <w:tblLayout w:type="fixed"/>
        <w:tblCellMar>
          <w:left w:w="62" w:type="dxa"/>
          <w:right w:w="62" w:type="dxa"/>
        </w:tblCellMar>
        <w:tblLook w:val="0000"/>
      </w:tblPr>
      <w:tblGrid>
        <w:gridCol w:w="1900"/>
        <w:gridCol w:w="7172"/>
      </w:tblGrid>
      <w:tr w:rsidTr="008B4D9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rPr>
                <w:rStyle w:val="SpecialBold"/>
              </w:rPr>
              <w:t>Core units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CPCCBL2001*</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Handle and prepare bricklaying and blocklaying materials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CPCCBL2002*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Use bricklaying and blocklaying tools and equipment</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masonry veneer construction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cavity brick construction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CPCCBL3005*</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Lay masonry walls and corners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CPCCBL3006*</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Lay multi-thickness walls and piers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CPCCBL3009*</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Install flashings and damp proof course</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CPCCBL3010*</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masonry arches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CPCCBL3011*</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curved walls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masonry structural systems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CPCCCA3002*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setting out</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CPCCCM2006</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Apply basic levelling procedures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CPCCCM2008*</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Erect and dismantle restricted height scaffolding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CPCCCM2012*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Work safely at heights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CPCCOM1012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Work effectively and sustainably in the construction industry</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CPCCOM1013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Plan and organise work</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CPCCOM1014</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Conduct workplace communication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CPCCOM1015</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measurements and calculations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CPCCOM2001*</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Rea</w:t>
            </w:r>
            <w:r w:rsidRPr="008B4D97">
              <w:t>d and interpret plans and specifications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 xml:space="preserve">CPCCWHS2001 </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Apply WHS requirements, policies, and procedures in the construction industry</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p>
        </w:tc>
      </w:tr>
      <w:tr w:rsidTr="008B4D9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tcPr>
          <w:p w:rsidR="00000000" w:rsidRPr="008B4D97" w:rsidP="008B4D97">
            <w:pPr>
              <w:pStyle w:val="BodyText"/>
            </w:pPr>
            <w:r w:rsidRPr="008B4D97">
              <w:rPr>
                <w:rStyle w:val="SpecialBold"/>
              </w:rPr>
              <w:t>Elective units</w:t>
            </w:r>
          </w:p>
          <w:p w:rsidR="00000000" w:rsidP="008B4D97">
            <w:pPr>
              <w:pStyle w:val="BodyText"/>
              <w:rPr>
                <w:lang w:val="en-NZ"/>
              </w:rPr>
            </w:pPr>
            <w:r w:rsidRPr="008B4D97">
              <w:rPr>
                <w:rStyle w:val="SpecialBold"/>
              </w:rPr>
              <w:t>Group A - Traditional and heritage bricklaying</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CPCCST4001</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Prepare to undertake the heritage restoration process</w:t>
            </w:r>
          </w:p>
        </w:tc>
      </w:tr>
      <w:tr w:rsidTr="008B4D97">
        <w:tblPrEx>
          <w:tblW w:w="0" w:type="auto"/>
          <w:tblLayout w:type="fixed"/>
          <w:tblCellMar>
            <w:left w:w="62" w:type="dxa"/>
            <w:right w:w="62" w:type="dxa"/>
          </w:tblCellMar>
          <w:tblLook w:val="0000"/>
        </w:tblPrEx>
        <w:trPr>
          <w:trHeight w:val="269"/>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CPCCST4002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Undertake the heritage restoration process</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CPCCBL3004*</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masonry steps and stairs</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fireplaces and chimneys</w:t>
            </w:r>
          </w:p>
        </w:tc>
      </w:tr>
      <w:tr w:rsidTr="008B4D97">
        <w:tblPrEx>
          <w:tblW w:w="0" w:type="auto"/>
          <w:tblLayout w:type="fixed"/>
          <w:tblCellMar>
            <w:left w:w="62" w:type="dxa"/>
            <w:right w:w="62" w:type="dxa"/>
          </w:tblCellMar>
          <w:tblLook w:val="0000"/>
        </w:tblPrEx>
        <w:trPr>
          <w:trHeight w:val="269"/>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CPCCBL3015*</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decorative brickwork</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w:t>
            </w:r>
            <w:r w:rsidRPr="008B4D97">
              <w:t>BL3016*</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battered masonry walls and piers</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CPCCBL3017*</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tuck pointing and repointing to masonry</w:t>
            </w:r>
          </w:p>
        </w:tc>
      </w:tr>
      <w:tr w:rsidTr="008B4D97">
        <w:tblPrEx>
          <w:tblW w:w="0" w:type="auto"/>
          <w:tblLayout w:type="fixed"/>
          <w:tblCellMar>
            <w:left w:w="62" w:type="dxa"/>
            <w:right w:w="62" w:type="dxa"/>
          </w:tblCellMar>
          <w:tblLook w:val="0000"/>
        </w:tblPrEx>
        <w:trPr>
          <w:trHeight w:val="269"/>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CPCCCO2013*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concreting to simple forms</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CPCCSF2004*</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Place and fix reinforcement materials</w:t>
            </w:r>
          </w:p>
        </w:tc>
      </w:tr>
      <w:tr w:rsidTr="008B4D97">
        <w:tblPrEx>
          <w:tblW w:w="0" w:type="auto"/>
          <w:tblLayout w:type="fixed"/>
          <w:tblCellMar>
            <w:left w:w="62" w:type="dxa"/>
            <w:right w:w="62" w:type="dxa"/>
          </w:tblCellMar>
          <w:tblLook w:val="0000"/>
        </w:tblPrEx>
        <w:trPr>
          <w:trHeight w:val="286"/>
        </w:trPr>
        <w:tc>
          <w:tcPr>
            <w:tcW w:w="19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p>
        </w:tc>
      </w:tr>
      <w:tr w:rsidTr="008B4D97">
        <w:tblPrEx>
          <w:tblW w:w="0" w:type="auto"/>
          <w:tblLayout w:type="fixed"/>
          <w:tblCellMar>
            <w:left w:w="62" w:type="dxa"/>
            <w:right w:w="62" w:type="dxa"/>
          </w:tblCellMar>
          <w:tblLook w:val="0000"/>
        </w:tblPrEx>
        <w:trPr>
          <w:trHeight w:val="286"/>
        </w:trPr>
        <w:tc>
          <w:tcPr>
            <w:tcW w:w="9072" w:type="dxa"/>
            <w:gridSpan w:val="2"/>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rPr>
                <w:rStyle w:val="SpecialBold"/>
              </w:rPr>
              <w:t>Group B – Refractory Bricklaying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CPCCST4003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 xml:space="preserve">Undertake preparations for refractory work </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CPCCST4007</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a fire brick wall and arch using refractory materials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CPCCBL3004*</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masonry steps and stairs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CPCCBL3012*</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fireplaces and chimneys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CPCCBL3016*</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Construct battere</w:t>
            </w:r>
            <w:r w:rsidRPr="008B4D97">
              <w:t>d masonry walls and piers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CPCCCM2009*</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basic demolition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CPCCCO2013*</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Carry out concreting to simple forms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CPCCSF2004*</w:t>
            </w: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t>Place and fix reinforcement materials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tcPr>
          <w:p w:rsidR="00000000" w:rsidP="008B4D97">
            <w:pPr>
              <w:pStyle w:val="BodyText"/>
              <w:rPr>
                <w:lang w:val="en-NZ"/>
              </w:rPr>
            </w:pPr>
          </w:p>
        </w:tc>
      </w:tr>
      <w:tr w:rsidTr="008B4D9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tcPr>
          <w:p w:rsidR="00000000" w:rsidP="008B4D97">
            <w:pPr>
              <w:pStyle w:val="BodyText"/>
              <w:rPr>
                <w:lang w:val="en-NZ"/>
              </w:rPr>
            </w:pPr>
            <w:r w:rsidRPr="008B4D97">
              <w:rPr>
                <w:rStyle w:val="SpecialBold"/>
              </w:rPr>
              <w:t>Group C -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CPCCCO2013*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Carry out concreting to simple forms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CPCCPA3001*</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Prepare subgrade, base and bedding course for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CPCCPA3002*</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Lay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Cut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CPCCPA3004*</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Finish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CPCCPA3005*</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Maintain and repair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CPCCSF2004*</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Place and fix reinforceme</w:t>
            </w:r>
            <w:r w:rsidRPr="008B4D97">
              <w:t>nt materials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p>
        </w:tc>
      </w:tr>
      <w:tr w:rsidTr="008B4D97">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rPr>
                <w:rStyle w:val="SpecialBold"/>
              </w:rPr>
              <w:t>General Electives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AHCLSC319</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Implement a retaining wall project</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CPCCBC4003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 xml:space="preserve">Select, prepare and administer a construction contract </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CPCCST4003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 xml:space="preserve">Undertake preparations for refractory work </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CPCCBL3001*</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Lay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CPCCBL3004*</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Construct masonry steps and stairs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CPCCBL3007*</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Install glass blockwork</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CPCCBL3012*</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Construct fireplaces and chimneys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 xml:space="preserve">CPCCBL3014* </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Install fire-rated masonry construction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CPCCBL3015*</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Construct decorative brickwork</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CPCCBL3016*</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Construct battered masonry walls and piers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CPCCBL3017*</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Carry out tuck pointing and repointing to masonry</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CPCCBL3018*</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Install aerated autoclaved concrete products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CPCCCM2009*</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Carry out basic demolition</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CPCCCO2013*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Carry out concreting to simple forms</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CPCCPA3001*</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Prepare subgrade, base and bedding course for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CPCCPA3002*</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Lay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CPCCPA3003*</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Cut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CPCCPA3004*</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Finish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CPCCPA3005*</w:t>
            </w:r>
          </w:p>
        </w:tc>
        <w:tc>
          <w:tcPr>
            <w:tcW w:w="7172"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Maintain and repair segmental paving</w:t>
            </w:r>
          </w:p>
        </w:tc>
      </w:tr>
      <w:tr w:rsidTr="008B4D97">
        <w:tblPrEx>
          <w:tblW w:w="0" w:type="auto"/>
          <w:tblLayout w:type="fixed"/>
          <w:tblCellMar>
            <w:left w:w="62" w:type="dxa"/>
            <w:right w:w="62" w:type="dxa"/>
          </w:tblCellMar>
          <w:tblLook w:val="0000"/>
        </w:tblPrEx>
        <w:trPr>
          <w:trHeight w:val="20"/>
        </w:trPr>
        <w:tc>
          <w:tcPr>
            <w:tcW w:w="1900" w:type="dxa"/>
            <w:tcBorders>
              <w:top w:val="nil"/>
              <w:left w:val="nil"/>
              <w:bottom w:val="nil"/>
              <w:right w:val="nil"/>
            </w:tcBorders>
            <w:tcMar>
              <w:top w:w="0" w:type="dxa"/>
              <w:left w:w="62" w:type="dxa"/>
              <w:bottom w:w="0" w:type="dxa"/>
              <w:right w:w="62" w:type="dxa"/>
            </w:tcMar>
            <w:vAlign w:val="center"/>
          </w:tcPr>
          <w:p w:rsidR="00000000" w:rsidP="008B4D97">
            <w:pPr>
              <w:pStyle w:val="BodyText"/>
              <w:rPr>
                <w:lang w:val="en-NZ"/>
              </w:rPr>
            </w:pPr>
            <w:r w:rsidRPr="008B4D97">
              <w:t>CPCCSF2004*</w:t>
            </w:r>
          </w:p>
        </w:tc>
        <w:tc>
          <w:tcPr>
            <w:tcW w:w="7172" w:type="dxa"/>
            <w:tcBorders>
              <w:top w:val="nil"/>
              <w:left w:val="nil"/>
              <w:bottom w:val="nil"/>
              <w:right w:val="nil"/>
            </w:tcBorders>
            <w:tcMar>
              <w:top w:w="0" w:type="dxa"/>
              <w:left w:w="62" w:type="dxa"/>
              <w:bottom w:w="0" w:type="dxa"/>
              <w:right w:w="62" w:type="dxa"/>
            </w:tcMar>
            <w:vAlign w:val="center"/>
          </w:tcPr>
          <w:p w:rsidR="00000000" w:rsidRPr="008B4D97" w:rsidP="008B4D97">
            <w:pPr>
              <w:pStyle w:val="BodyText"/>
            </w:pPr>
            <w:r w:rsidRPr="008B4D97">
              <w:t>Place and fix reinforcement materials </w:t>
            </w:r>
          </w:p>
        </w:tc>
      </w:tr>
    </w:tbl>
    <w:p w:rsidR="00000000" w:rsidRPr="008B4D97" w:rsidP="008B4D97">
      <w:pPr>
        <w:pStyle w:val="BodyText"/>
      </w:pPr>
    </w:p>
    <w:p w:rsidR="00000000" w:rsidRPr="008B4D97" w:rsidP="008B4D97">
      <w:pPr>
        <w:pStyle w:val="AllowPageBreak"/>
      </w:pPr>
    </w:p>
    <w:p w:rsidR="00000000" w:rsidRPr="008B4D97" w:rsidP="008B4D97">
      <w:pPr>
        <w:pStyle w:val="Heading1"/>
      </w:pPr>
      <w:bookmarkStart w:id="5" w:name="O_1296167"/>
      <w:bookmarkEnd w:id="5"/>
      <w:r w:rsidRPr="008B4D97">
        <w:t>Qualification Mapping Information</w:t>
      </w:r>
    </w:p>
    <w:tbl>
      <w:tblPr>
        <w:tblW w:w="0" w:type="auto"/>
        <w:tblLayout w:type="fixed"/>
        <w:tblCellMar>
          <w:left w:w="62" w:type="dxa"/>
          <w:right w:w="62" w:type="dxa"/>
        </w:tblCellMar>
        <w:tblLook w:val="0000"/>
      </w:tblPr>
      <w:tblGrid>
        <w:gridCol w:w="2440"/>
        <w:gridCol w:w="2584"/>
        <w:gridCol w:w="2813"/>
        <w:gridCol w:w="1235"/>
      </w:tblGrid>
      <w:tr w:rsidTr="008B4D97">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D97" w:rsidP="008B4D97">
            <w:pPr>
              <w:pStyle w:val="BodyText"/>
            </w:pPr>
            <w:r w:rsidRPr="008B4D97">
              <w:rPr>
                <w:rStyle w:val="SpecialBold"/>
              </w:rPr>
              <w:t>CPC Construction, Plumbing and Services Training Package Release 5.0</w:t>
            </w:r>
          </w:p>
        </w:tc>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D97" w:rsidP="008B4D97">
            <w:pPr>
              <w:pStyle w:val="BodyText"/>
            </w:pPr>
            <w:r w:rsidRPr="008B4D97">
              <w:rPr>
                <w:rStyle w:val="SpecialBold"/>
              </w:rPr>
              <w:t>CPC08 Construction, Plumbing and Services Training Package</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D97" w:rsidP="008B4D97">
            <w:pPr>
              <w:pStyle w:val="BodyText"/>
            </w:pPr>
            <w:r w:rsidRPr="008B4D97">
              <w:rPr>
                <w:rStyle w:val="SpecialBold"/>
              </w:rPr>
              <w:t>Comments</w:t>
            </w:r>
          </w:p>
        </w:tc>
        <w:tc>
          <w:tcPr>
            <w:tcW w:w="1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D97">
            <w:pPr>
              <w:pStyle w:val="BodyText"/>
              <w:rPr>
                <w:lang w:val="en-NZ"/>
              </w:rPr>
            </w:pPr>
            <w:r w:rsidRPr="008B4D97">
              <w:rPr>
                <w:rStyle w:val="SpecialBold"/>
              </w:rPr>
              <w:t>E/NE</w:t>
            </w:r>
          </w:p>
        </w:tc>
      </w:tr>
      <w:tr w:rsidTr="008B4D97">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D97">
            <w:pPr>
              <w:pStyle w:val="BodyText"/>
              <w:rPr>
                <w:lang w:val="en-NZ"/>
              </w:rPr>
            </w:pPr>
            <w:r w:rsidRPr="008B4D97">
              <w:t>CPC33020 Certificat</w:t>
            </w:r>
            <w:r w:rsidRPr="008B4D97">
              <w:t>e III in Bricklaying and Blocklaying</w:t>
            </w:r>
          </w:p>
        </w:tc>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D97">
            <w:pPr>
              <w:pStyle w:val="BodyText"/>
              <w:rPr>
                <w:lang w:val="en-NZ"/>
              </w:rPr>
            </w:pPr>
            <w:r w:rsidRPr="008B4D97">
              <w:t xml:space="preserve">CPC30111 Certificate III in Bricklaying/Blocklaying </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D97">
            <w:pPr>
              <w:pStyle w:val="BodyText"/>
              <w:rPr>
                <w:lang w:val="en-NZ"/>
              </w:rPr>
            </w:pPr>
            <w:r w:rsidRPr="008B4D97">
              <w:t>Supersedes and is equivalent to CPC30111 Certificate III in Bricklaying/Blocklaying.</w:t>
            </w:r>
          </w:p>
        </w:tc>
        <w:tc>
          <w:tcPr>
            <w:tcW w:w="1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D97" w:rsidP="008B4D97">
            <w:pPr>
              <w:pStyle w:val="BodyText"/>
            </w:pPr>
            <w:r w:rsidRPr="008B4D97">
              <w:t>E</w:t>
            </w:r>
          </w:p>
        </w:tc>
      </w:tr>
    </w:tbl>
    <w:p w:rsidR="00000000" w:rsidRPr="008B4D97" w:rsidP="008B4D97">
      <w:pPr>
        <w:pStyle w:val="BodyText"/>
      </w:pPr>
    </w:p>
    <w:p w:rsidR="00000000" w:rsidRPr="008B4D97" w:rsidP="008B4D97">
      <w:pPr>
        <w:pStyle w:val="AllowPageBreak"/>
      </w:pPr>
    </w:p>
    <w:p w:rsidR="00000000" w:rsidRPr="008B4D97" w:rsidP="008B4D97">
      <w:pPr>
        <w:pStyle w:val="Heading1"/>
      </w:pPr>
      <w:bookmarkStart w:id="6" w:name="O_1296172"/>
      <w:bookmarkEnd w:id="6"/>
      <w:r w:rsidRPr="008B4D97">
        <w:t>Links</w:t>
      </w:r>
    </w:p>
    <w:p w:rsidR="00000000" w:rsidRPr="008B4D97" w:rsidP="00501414">
      <w:pPr>
        <w:pStyle w:val="BodyText"/>
      </w:pPr>
      <w:r w:rsidRPr="008B4D9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E3909">
        <w:rPr>
          <w:rStyle w:val="Hyperlink"/>
        </w:rPr>
        <w:t>https://vetnet.gov.au/Pages/TrainingDocs.aspx?q=7e15fa6a-68b8-4097-b099-030a5569b1ad</w:t>
      </w:r>
      <w:r>
        <w:fldChar w:fldCharType="end"/>
      </w:r>
    </w:p>
    <w:p w:rsidR="00000000" w:rsidRPr="008B4D97" w:rsidP="008B4D97"/>
    <w:sectPr w:rsidSect="008B4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97" w:rsidRPr="00501414" w:rsidP="00501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14" w:rsidP="008B4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414" w:rsidP="008B4D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01414" w:rsidP="008B4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D97" w:rsidRPr="00501414" w:rsidP="00501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14" w:rsidRPr="002D2AF8" w:rsidP="008B4D97">
    <w:pPr>
      <w:pStyle w:val="Header"/>
      <w:framePr w:wrap="around"/>
    </w:pPr>
    <w:r>
      <w:fldChar w:fldCharType="begin"/>
    </w:r>
    <w:r>
      <w:instrText xml:space="preserve"> TITLE   \* MERGEFORMAT </w:instrText>
    </w:r>
    <w:r>
      <w:fldChar w:fldCharType="separate"/>
    </w:r>
    <w:r>
      <w:t>CPC33020 Certificate III in Bricklaying and Blocklaying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01414" w:rsidP="008B4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05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0A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8D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D97"/>
    <w:pPr>
      <w:spacing w:before="360" w:after="60"/>
      <w:outlineLvl w:val="0"/>
    </w:pPr>
    <w:rPr>
      <w:sz w:val="32"/>
    </w:rPr>
  </w:style>
  <w:style w:type="paragraph" w:styleId="Heading2">
    <w:name w:val="heading 2"/>
    <w:basedOn w:val="HeadingBase"/>
    <w:next w:val="BodyText"/>
    <w:link w:val="Heading2Char"/>
    <w:qFormat/>
    <w:rsid w:val="008B4D97"/>
    <w:pPr>
      <w:keepLines/>
      <w:spacing w:before="240" w:after="120"/>
      <w:outlineLvl w:val="1"/>
    </w:pPr>
    <w:rPr>
      <w:sz w:val="28"/>
      <w:szCs w:val="40"/>
    </w:rPr>
  </w:style>
  <w:style w:type="paragraph" w:styleId="Heading3">
    <w:name w:val="heading 3"/>
    <w:basedOn w:val="HeadingBase"/>
    <w:next w:val="BodyText"/>
    <w:link w:val="Heading3Char"/>
    <w:qFormat/>
    <w:rsid w:val="008B4D97"/>
    <w:pPr>
      <w:spacing w:before="180" w:after="120"/>
      <w:outlineLvl w:val="2"/>
    </w:pPr>
    <w:rPr>
      <w:spacing w:val="-10"/>
      <w:kern w:val="32"/>
    </w:rPr>
  </w:style>
  <w:style w:type="paragraph" w:styleId="Heading4">
    <w:name w:val="heading 4"/>
    <w:basedOn w:val="HeadingBase"/>
    <w:next w:val="BodyText"/>
    <w:link w:val="Heading4Char"/>
    <w:qFormat/>
    <w:rsid w:val="008B4D97"/>
    <w:pPr>
      <w:spacing w:before="160" w:after="120"/>
      <w:outlineLvl w:val="3"/>
    </w:pPr>
    <w:rPr>
      <w:sz w:val="22"/>
    </w:rPr>
  </w:style>
  <w:style w:type="paragraph" w:styleId="Heading5">
    <w:name w:val="heading 5"/>
    <w:basedOn w:val="HeadingBase"/>
    <w:next w:val="Normal"/>
    <w:link w:val="Heading5Char"/>
    <w:qFormat/>
    <w:rsid w:val="008B4D97"/>
    <w:pPr>
      <w:spacing w:before="80"/>
      <w:outlineLvl w:val="4"/>
    </w:pPr>
    <w:rPr>
      <w:color w:val="918585"/>
      <w:sz w:val="20"/>
    </w:rPr>
  </w:style>
  <w:style w:type="paragraph" w:styleId="Heading6">
    <w:name w:val="heading 6"/>
    <w:basedOn w:val="HeadingBase"/>
    <w:next w:val="Normal"/>
    <w:link w:val="Heading6Char"/>
    <w:qFormat/>
    <w:rsid w:val="008B4D97"/>
    <w:pPr>
      <w:spacing w:before="60"/>
      <w:outlineLvl w:val="5"/>
    </w:pPr>
    <w:rPr>
      <w:color w:val="918585"/>
      <w:sz w:val="20"/>
    </w:rPr>
  </w:style>
  <w:style w:type="paragraph" w:styleId="Heading7">
    <w:name w:val="heading 7"/>
    <w:basedOn w:val="Normal"/>
    <w:next w:val="Normal"/>
    <w:link w:val="Heading7Char"/>
    <w:qFormat/>
    <w:rsid w:val="008B4D97"/>
    <w:pPr>
      <w:ind w:left="720"/>
      <w:outlineLvl w:val="6"/>
    </w:pPr>
    <w:rPr>
      <w:i/>
    </w:rPr>
  </w:style>
  <w:style w:type="paragraph" w:styleId="Heading8">
    <w:name w:val="heading 8"/>
    <w:basedOn w:val="Normal"/>
    <w:next w:val="Normal"/>
    <w:link w:val="Heading8Char"/>
    <w:qFormat/>
    <w:rsid w:val="008B4D97"/>
    <w:pPr>
      <w:ind w:left="720"/>
      <w:outlineLvl w:val="7"/>
    </w:pPr>
    <w:rPr>
      <w:i/>
    </w:rPr>
  </w:style>
  <w:style w:type="paragraph" w:styleId="Heading9">
    <w:name w:val="heading 9"/>
    <w:basedOn w:val="Normal"/>
    <w:next w:val="Normal"/>
    <w:link w:val="Heading9Char"/>
    <w:qFormat/>
    <w:rsid w:val="008B4D97"/>
    <w:pPr>
      <w:ind w:left="720"/>
      <w:outlineLvl w:val="8"/>
    </w:pPr>
    <w:rPr>
      <w:i/>
    </w:rPr>
  </w:style>
  <w:style w:type="character" w:default="1" w:styleId="DefaultParagraphFont">
    <w:name w:val="Default Paragraph Font"/>
    <w:uiPriority w:val="1"/>
    <w:unhideWhenUsed/>
    <w:rsid w:val="008B4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D97"/>
  </w:style>
  <w:style w:type="character" w:customStyle="1" w:styleId="Heading1Char">
    <w:name w:val="Heading 1 Char"/>
    <w:basedOn w:val="DefaultParagraphFont"/>
    <w:link w:val="Heading1"/>
    <w:rsid w:val="008B4D97"/>
    <w:rPr>
      <w:rFonts w:ascii="Times New Roman" w:eastAsia="Times New Roman" w:hAnsi="Times New Roman" w:cs="Times New Roman"/>
      <w:b/>
      <w:sz w:val="32"/>
      <w:szCs w:val="20"/>
      <w:lang w:eastAsia="en-US"/>
    </w:rPr>
  </w:style>
  <w:style w:type="paragraph" w:styleId="BodyText">
    <w:name w:val="Body Text"/>
    <w:basedOn w:val="Normal"/>
    <w:link w:val="BodyTextChar"/>
    <w:rsid w:val="008B4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D97"/>
    <w:rPr>
      <w:rFonts w:ascii="Times New Roman" w:eastAsia="Times New Roman" w:hAnsi="Times New Roman" w:cs="Times New Roman"/>
      <w:sz w:val="24"/>
      <w:lang w:eastAsia="en-US"/>
    </w:rPr>
  </w:style>
  <w:style w:type="paragraph" w:styleId="ListBullet">
    <w:name w:val="List Bullet"/>
    <w:basedOn w:val="List"/>
    <w:rsid w:val="008B4D97"/>
    <w:pPr>
      <w:numPr>
        <w:numId w:val="12"/>
      </w:numPr>
      <w:tabs>
        <w:tab w:val="clear" w:pos="340"/>
      </w:tabs>
      <w:spacing w:before="40" w:after="40"/>
    </w:pPr>
  </w:style>
  <w:style w:type="character" w:customStyle="1" w:styleId="SpecialBold">
    <w:name w:val="Special Bold"/>
    <w:basedOn w:val="DefaultParagraphFont"/>
    <w:rsid w:val="008B4D97"/>
    <w:rPr>
      <w:b/>
      <w:spacing w:val="0"/>
    </w:rPr>
  </w:style>
  <w:style w:type="paragraph" w:styleId="ListBullet2">
    <w:name w:val="List Bullet 2"/>
    <w:basedOn w:val="List2"/>
    <w:rsid w:val="008B4D97"/>
    <w:pPr>
      <w:numPr>
        <w:numId w:val="13"/>
      </w:numPr>
      <w:tabs>
        <w:tab w:val="clear" w:pos="680"/>
      </w:tabs>
    </w:pPr>
  </w:style>
  <w:style w:type="character" w:styleId="Emphasis">
    <w:name w:val="Emphasis"/>
    <w:basedOn w:val="DefaultParagraphFont"/>
    <w:qFormat/>
    <w:rsid w:val="008B4D97"/>
    <w:rPr>
      <w:i/>
    </w:rPr>
  </w:style>
  <w:style w:type="paragraph" w:customStyle="1" w:styleId="SuperHeading">
    <w:name w:val="SuperHeading"/>
    <w:basedOn w:val="Normal"/>
    <w:rsid w:val="008B4D97"/>
    <w:pPr>
      <w:spacing w:before="240" w:after="120"/>
      <w:outlineLvl w:val="0"/>
    </w:pPr>
    <w:rPr>
      <w:rFonts w:ascii="Times New Roman" w:hAnsi="Times New Roman"/>
      <w:b/>
      <w:sz w:val="32"/>
    </w:rPr>
  </w:style>
  <w:style w:type="paragraph" w:customStyle="1" w:styleId="AllowPageBreak">
    <w:name w:val="AllowPageBreak"/>
    <w:rsid w:val="008B4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D97"/>
    <w:rPr>
      <w:rFonts w:ascii="Courier New" w:eastAsia="Times New Roman" w:hAnsi="Courier New" w:cs="Times New Roman"/>
      <w:i/>
      <w:szCs w:val="20"/>
      <w:lang w:eastAsia="en-US"/>
    </w:rPr>
  </w:style>
  <w:style w:type="paragraph" w:customStyle="1" w:styleId="HeadingBase">
    <w:name w:val="Heading Base"/>
    <w:rsid w:val="008B4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D97"/>
    <w:pPr>
      <w:tabs>
        <w:tab w:val="right" w:leader="dot" w:pos="9072"/>
      </w:tabs>
      <w:ind w:left="567"/>
    </w:pPr>
    <w:rPr>
      <w:szCs w:val="22"/>
    </w:rPr>
  </w:style>
  <w:style w:type="paragraph" w:customStyle="1" w:styleId="TOCBase">
    <w:name w:val="TOC Base"/>
    <w:rsid w:val="008B4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D97"/>
    <w:pPr>
      <w:tabs>
        <w:tab w:val="right" w:leader="dot" w:pos="9072"/>
      </w:tabs>
      <w:spacing w:before="40" w:after="40"/>
      <w:ind w:left="284"/>
    </w:pPr>
    <w:rPr>
      <w:rFonts w:ascii="Times New Roman" w:hAnsi="Times New Roman"/>
    </w:rPr>
  </w:style>
  <w:style w:type="paragraph" w:styleId="TOC1">
    <w:name w:val="toc 1"/>
    <w:basedOn w:val="TOCBase"/>
    <w:next w:val="Normal"/>
    <w:rsid w:val="008B4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D97"/>
    <w:rPr>
      <w:rFonts w:ascii="Times New Roman" w:eastAsia="Times New Roman" w:hAnsi="Times New Roman" w:cs="Times New Roman"/>
      <w:sz w:val="16"/>
      <w:lang w:eastAsia="en-US"/>
    </w:rPr>
  </w:style>
  <w:style w:type="paragraph" w:styleId="Title">
    <w:name w:val="Title"/>
    <w:basedOn w:val="HeadingBase"/>
    <w:link w:val="TitleChar"/>
    <w:qFormat/>
    <w:rsid w:val="008B4D97"/>
    <w:pPr>
      <w:spacing w:before="5040"/>
      <w:jc w:val="center"/>
    </w:pPr>
    <w:rPr>
      <w:sz w:val="48"/>
      <w:szCs w:val="72"/>
      <w:lang w:val="en-US"/>
    </w:rPr>
  </w:style>
  <w:style w:type="character" w:customStyle="1" w:styleId="TitleChar">
    <w:name w:val="Title Char"/>
    <w:basedOn w:val="DefaultParagraphFont"/>
    <w:link w:val="Title"/>
    <w:rsid w:val="008B4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D97"/>
    <w:pPr>
      <w:tabs>
        <w:tab w:val="left" w:pos="3600"/>
        <w:tab w:val="left" w:pos="3958"/>
      </w:tabs>
    </w:pPr>
  </w:style>
  <w:style w:type="paragraph" w:styleId="List">
    <w:name w:val="List"/>
    <w:basedOn w:val="BodyText"/>
    <w:next w:val="BodyText"/>
    <w:rsid w:val="008B4D97"/>
    <w:pPr>
      <w:tabs>
        <w:tab w:val="left" w:pos="340"/>
      </w:tabs>
      <w:spacing w:before="60" w:after="60"/>
      <w:ind w:left="340" w:hanging="340"/>
    </w:pPr>
  </w:style>
  <w:style w:type="paragraph" w:customStyle="1" w:styleId="Note">
    <w:name w:val="Note"/>
    <w:basedOn w:val="BodyText"/>
    <w:rsid w:val="008B4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D97"/>
    <w:pPr>
      <w:framePr w:wrap="auto" w:hAnchor="text" w:y="6049"/>
    </w:pPr>
    <w:rPr>
      <w:color w:val="000000"/>
      <w:sz w:val="40"/>
    </w:rPr>
  </w:style>
  <w:style w:type="paragraph" w:customStyle="1" w:styleId="TOCTitle">
    <w:name w:val="TOCTitle"/>
    <w:basedOn w:val="Heading1"/>
    <w:rsid w:val="008B4D97"/>
    <w:pPr>
      <w:spacing w:after="240"/>
      <w:jc w:val="center"/>
      <w:outlineLvl w:val="9"/>
    </w:pPr>
    <w:rPr>
      <w:caps/>
    </w:rPr>
  </w:style>
  <w:style w:type="paragraph" w:customStyle="1" w:styleId="Version">
    <w:name w:val="Version"/>
    <w:rsid w:val="008B4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D97"/>
    <w:pPr>
      <w:keepNext w:val="0"/>
      <w:tabs>
        <w:tab w:val="right" w:pos="4176"/>
      </w:tabs>
      <w:ind w:left="198" w:hanging="198"/>
    </w:pPr>
    <w:rPr>
      <w:rFonts w:ascii="Garamond" w:hAnsi="Garamond"/>
    </w:rPr>
  </w:style>
  <w:style w:type="paragraph" w:styleId="IndexHeading">
    <w:name w:val="index heading"/>
    <w:basedOn w:val="Normal"/>
    <w:next w:val="Index1"/>
    <w:semiHidden/>
    <w:rsid w:val="008B4D97"/>
    <w:pPr>
      <w:spacing w:before="120" w:after="120"/>
    </w:pPr>
    <w:rPr>
      <w:rFonts w:ascii="Arial" w:hAnsi="Arial"/>
      <w:b/>
      <w:color w:val="918585"/>
      <w:sz w:val="24"/>
    </w:rPr>
  </w:style>
  <w:style w:type="paragraph" w:styleId="Header">
    <w:name w:val="header"/>
    <w:basedOn w:val="Normal"/>
    <w:link w:val="HeaderChar"/>
    <w:rsid w:val="008B4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D97"/>
    <w:rPr>
      <w:rFonts w:ascii="Times New Roman" w:eastAsia="Times New Roman" w:hAnsi="Times New Roman" w:cs="Times New Roman"/>
      <w:sz w:val="16"/>
      <w:szCs w:val="20"/>
      <w:lang w:val="en-GB" w:eastAsia="en-US"/>
    </w:rPr>
  </w:style>
  <w:style w:type="paragraph" w:customStyle="1" w:styleId="Chapter">
    <w:name w:val="Chapter"/>
    <w:basedOn w:val="Normal"/>
    <w:rsid w:val="008B4D97"/>
    <w:pPr>
      <w:spacing w:before="240"/>
    </w:pPr>
    <w:rPr>
      <w:rFonts w:ascii="Times New Roman" w:hAnsi="Times New Roman"/>
      <w:smallCaps/>
      <w:spacing w:val="80"/>
      <w:sz w:val="28"/>
    </w:rPr>
  </w:style>
  <w:style w:type="paragraph" w:customStyle="1" w:styleId="InChapter">
    <w:name w:val="InChapter"/>
    <w:basedOn w:val="Heading3"/>
    <w:rsid w:val="008B4D97"/>
    <w:pPr>
      <w:spacing w:after="240"/>
      <w:outlineLvl w:val="9"/>
    </w:pPr>
    <w:rPr>
      <w:noProof/>
    </w:rPr>
  </w:style>
  <w:style w:type="paragraph" w:styleId="Index2">
    <w:name w:val="index 2"/>
    <w:basedOn w:val="Normal"/>
    <w:next w:val="Normal"/>
    <w:semiHidden/>
    <w:rsid w:val="008B4D97"/>
    <w:pPr>
      <w:tabs>
        <w:tab w:val="right" w:pos="4176"/>
      </w:tabs>
      <w:ind w:left="568" w:hanging="284"/>
    </w:pPr>
    <w:rPr>
      <w:rFonts w:ascii="Garamond" w:hAnsi="Garamond"/>
    </w:rPr>
  </w:style>
  <w:style w:type="paragraph" w:customStyle="1" w:styleId="Byline">
    <w:name w:val="Byline"/>
    <w:rsid w:val="008B4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D97"/>
    <w:pPr>
      <w:tabs>
        <w:tab w:val="clear" w:pos="3600"/>
        <w:tab w:val="clear" w:pos="3958"/>
      </w:tabs>
      <w:jc w:val="right"/>
    </w:pPr>
  </w:style>
  <w:style w:type="paragraph" w:styleId="Caption">
    <w:name w:val="caption"/>
    <w:basedOn w:val="BodyText"/>
    <w:next w:val="Normal"/>
    <w:qFormat/>
    <w:rsid w:val="008B4D97"/>
    <w:pPr>
      <w:framePr w:w="2268" w:hSpace="181" w:vSpace="181" w:wrap="around" w:vAnchor="text" w:hAnchor="page" w:x="1135" w:y="285" w:anchorLock="1"/>
    </w:pPr>
    <w:rPr>
      <w:i/>
    </w:rPr>
  </w:style>
  <w:style w:type="paragraph" w:customStyle="1" w:styleId="MiniTOCTitle">
    <w:name w:val="MiniTOCTitle"/>
    <w:basedOn w:val="Heading4"/>
    <w:rsid w:val="008B4D97"/>
    <w:pPr>
      <w:spacing w:before="240"/>
      <w:outlineLvl w:val="9"/>
    </w:pPr>
    <w:rPr>
      <w:noProof/>
      <w:sz w:val="24"/>
    </w:rPr>
  </w:style>
  <w:style w:type="paragraph" w:customStyle="1" w:styleId="MiniTOCItem">
    <w:name w:val="MiniTOCItem"/>
    <w:basedOn w:val="ListBullet"/>
    <w:rsid w:val="008B4D97"/>
    <w:pPr>
      <w:numPr>
        <w:numId w:val="0"/>
      </w:numPr>
      <w:tabs>
        <w:tab w:val="right" w:leader="dot" w:pos="6521"/>
      </w:tabs>
      <w:spacing w:before="0" w:after="0"/>
    </w:pPr>
  </w:style>
  <w:style w:type="paragraph" w:customStyle="1" w:styleId="TOFTitle">
    <w:name w:val="TOFTitle"/>
    <w:basedOn w:val="TOCTitle"/>
    <w:rsid w:val="008B4D97"/>
  </w:style>
  <w:style w:type="paragraph" w:styleId="TableofFigures">
    <w:name w:val="table of figures"/>
    <w:basedOn w:val="Normal"/>
    <w:next w:val="Normal"/>
    <w:semiHidden/>
    <w:rsid w:val="008B4D97"/>
    <w:pPr>
      <w:tabs>
        <w:tab w:val="right" w:leader="dot" w:pos="9072"/>
      </w:tabs>
      <w:ind w:left="970" w:hanging="403"/>
    </w:pPr>
    <w:rPr>
      <w:rFonts w:ascii="Times New Roman" w:hAnsi="Times New Roman"/>
      <w:b/>
    </w:rPr>
  </w:style>
  <w:style w:type="paragraph" w:styleId="ListNumber">
    <w:name w:val="List Number"/>
    <w:basedOn w:val="List"/>
    <w:rsid w:val="008B4D97"/>
    <w:pPr>
      <w:numPr>
        <w:numId w:val="15"/>
      </w:numPr>
      <w:tabs>
        <w:tab w:val="clear" w:pos="340"/>
      </w:tabs>
    </w:pPr>
  </w:style>
  <w:style w:type="character" w:customStyle="1" w:styleId="WingdingSymbols">
    <w:name w:val="Wingding Symbols"/>
    <w:rsid w:val="008B4D97"/>
    <w:rPr>
      <w:rFonts w:ascii="Wingdings" w:hAnsi="Wingdings"/>
    </w:rPr>
  </w:style>
  <w:style w:type="paragraph" w:customStyle="1" w:styleId="TableHeading">
    <w:name w:val="Table Heading"/>
    <w:basedOn w:val="HeadingBase"/>
    <w:rsid w:val="008B4D97"/>
    <w:pPr>
      <w:keepLines/>
      <w:pBdr>
        <w:bottom w:val="single" w:sz="6" w:space="1" w:color="918585"/>
      </w:pBdr>
      <w:spacing w:before="240"/>
    </w:pPr>
  </w:style>
  <w:style w:type="character" w:customStyle="1" w:styleId="HotSpot">
    <w:name w:val="HotSpot"/>
    <w:rsid w:val="008B4D97"/>
    <w:rPr>
      <w:color w:val="0033CC"/>
      <w:u w:val="none"/>
    </w:rPr>
  </w:style>
  <w:style w:type="paragraph" w:customStyle="1" w:styleId="BodyTextRight">
    <w:name w:val="Body Text Right"/>
    <w:basedOn w:val="BodyText"/>
    <w:rsid w:val="008B4D97"/>
    <w:pPr>
      <w:spacing w:before="0" w:after="0"/>
      <w:jc w:val="right"/>
    </w:pPr>
  </w:style>
  <w:style w:type="paragraph" w:styleId="Index3">
    <w:name w:val="index 3"/>
    <w:basedOn w:val="ListNumber2"/>
    <w:next w:val="Normal"/>
    <w:semiHidden/>
    <w:rsid w:val="008B4D97"/>
    <w:pPr>
      <w:numPr>
        <w:numId w:val="0"/>
      </w:numPr>
      <w:tabs>
        <w:tab w:val="right" w:leader="dot" w:pos="4176"/>
      </w:tabs>
    </w:pPr>
  </w:style>
  <w:style w:type="paragraph" w:styleId="ListNumber2">
    <w:name w:val="List Number 2"/>
    <w:basedOn w:val="List2"/>
    <w:rsid w:val="008B4D97"/>
    <w:pPr>
      <w:numPr>
        <w:numId w:val="10"/>
      </w:numPr>
      <w:tabs>
        <w:tab w:val="clear" w:pos="1060"/>
      </w:tabs>
    </w:pPr>
  </w:style>
  <w:style w:type="paragraph" w:customStyle="1" w:styleId="MarginNote">
    <w:name w:val="Margin Note"/>
    <w:basedOn w:val="BodyText"/>
    <w:rsid w:val="008B4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D97"/>
    <w:rPr>
      <w:sz w:val="32"/>
    </w:rPr>
  </w:style>
  <w:style w:type="paragraph" w:customStyle="1" w:styleId="HeadingProcedure">
    <w:name w:val="Heading Procedure"/>
    <w:basedOn w:val="HeadingBase"/>
    <w:next w:val="Normal"/>
    <w:rsid w:val="008B4D97"/>
    <w:pPr>
      <w:tabs>
        <w:tab w:val="left" w:pos="0"/>
      </w:tabs>
      <w:spacing w:before="120" w:after="60"/>
    </w:pPr>
    <w:rPr>
      <w:i/>
      <w:color w:val="918585"/>
      <w:sz w:val="22"/>
    </w:rPr>
  </w:style>
  <w:style w:type="paragraph" w:customStyle="1" w:styleId="TableBodyText">
    <w:name w:val="Table Body Text"/>
    <w:basedOn w:val="BodyText"/>
    <w:rsid w:val="008B4D97"/>
    <w:pPr>
      <w:spacing w:before="60" w:after="60"/>
    </w:pPr>
  </w:style>
  <w:style w:type="paragraph" w:styleId="ListContinue">
    <w:name w:val="List Continue"/>
    <w:basedOn w:val="List"/>
    <w:rsid w:val="008B4D97"/>
    <w:pPr>
      <w:ind w:firstLine="0"/>
    </w:pPr>
  </w:style>
  <w:style w:type="paragraph" w:customStyle="1" w:styleId="ListNote">
    <w:name w:val="List Note"/>
    <w:basedOn w:val="List"/>
    <w:rsid w:val="008B4D97"/>
    <w:pPr>
      <w:pBdr>
        <w:top w:val="single" w:sz="6" w:space="2" w:color="918585"/>
        <w:bottom w:val="single" w:sz="6" w:space="2" w:color="918585"/>
      </w:pBdr>
      <w:tabs>
        <w:tab w:val="left" w:pos="1021"/>
      </w:tabs>
      <w:ind w:firstLine="0"/>
    </w:pPr>
  </w:style>
  <w:style w:type="paragraph" w:customStyle="1" w:styleId="Warning">
    <w:name w:val="Warning"/>
    <w:basedOn w:val="BodyText"/>
    <w:rsid w:val="008B4D97"/>
    <w:pPr>
      <w:shd w:val="clear" w:color="auto" w:fill="D9D9D9"/>
      <w:tabs>
        <w:tab w:val="left" w:pos="992"/>
      </w:tabs>
      <w:ind w:left="119" w:right="119"/>
    </w:pPr>
    <w:rPr>
      <w:sz w:val="20"/>
    </w:rPr>
  </w:style>
  <w:style w:type="paragraph" w:customStyle="1" w:styleId="MarginIcons">
    <w:name w:val="Margin Icons"/>
    <w:basedOn w:val="BodyText"/>
    <w:rsid w:val="008B4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D97"/>
    <w:rPr>
      <w:rFonts w:ascii="Courier New" w:hAnsi="Courier New"/>
    </w:rPr>
  </w:style>
  <w:style w:type="paragraph" w:customStyle="1" w:styleId="NoteBullet">
    <w:name w:val="Note Bullet"/>
    <w:basedOn w:val="Note"/>
    <w:rsid w:val="008B4D97"/>
    <w:pPr>
      <w:tabs>
        <w:tab w:val="clear" w:pos="680"/>
      </w:tabs>
      <w:spacing w:before="60" w:after="60"/>
    </w:pPr>
  </w:style>
  <w:style w:type="paragraph" w:customStyle="1" w:styleId="SubHeading2">
    <w:name w:val="SubHeading2"/>
    <w:basedOn w:val="HeadingBase"/>
    <w:rsid w:val="008B4D97"/>
    <w:pPr>
      <w:spacing w:before="240" w:after="60"/>
    </w:pPr>
    <w:rPr>
      <w:sz w:val="20"/>
    </w:rPr>
  </w:style>
  <w:style w:type="paragraph" w:customStyle="1" w:styleId="SubHeading1">
    <w:name w:val="SubHeading1"/>
    <w:basedOn w:val="HeadingBase"/>
    <w:rsid w:val="008B4D97"/>
    <w:pPr>
      <w:spacing w:before="240" w:after="60"/>
    </w:pPr>
    <w:rPr>
      <w:color w:val="918585"/>
      <w:sz w:val="22"/>
    </w:rPr>
  </w:style>
  <w:style w:type="paragraph" w:customStyle="1" w:styleId="SideHeading">
    <w:name w:val="Side Heading"/>
    <w:basedOn w:val="HeadingBase"/>
    <w:rsid w:val="008B4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D97"/>
    <w:pPr>
      <w:tabs>
        <w:tab w:val="num" w:pos="360"/>
      </w:tabs>
    </w:pPr>
  </w:style>
  <w:style w:type="paragraph" w:styleId="PlainText">
    <w:name w:val="Plain Text"/>
    <w:basedOn w:val="Normal"/>
    <w:link w:val="PlainTextChar"/>
    <w:rsid w:val="008B4D97"/>
    <w:rPr>
      <w:sz w:val="20"/>
    </w:rPr>
  </w:style>
  <w:style w:type="character" w:customStyle="1" w:styleId="PlainTextChar">
    <w:name w:val="Plain Text Char"/>
    <w:basedOn w:val="DefaultParagraphFont"/>
    <w:link w:val="PlainText"/>
    <w:rsid w:val="008B4D97"/>
    <w:rPr>
      <w:rFonts w:ascii="Courier New" w:eastAsia="Times New Roman" w:hAnsi="Courier New" w:cs="Times New Roman"/>
      <w:sz w:val="20"/>
      <w:szCs w:val="20"/>
      <w:lang w:eastAsia="en-US"/>
    </w:rPr>
  </w:style>
  <w:style w:type="character" w:customStyle="1" w:styleId="MenuOption">
    <w:name w:val="Menu Option"/>
    <w:basedOn w:val="DefaultParagraphFont"/>
    <w:rsid w:val="008B4D97"/>
    <w:rPr>
      <w:b/>
      <w:smallCaps/>
    </w:rPr>
  </w:style>
  <w:style w:type="paragraph" w:customStyle="1" w:styleId="TableListNumber">
    <w:name w:val="Table List Number"/>
    <w:basedOn w:val="ListNumber"/>
    <w:rsid w:val="008B4D97"/>
    <w:pPr>
      <w:numPr>
        <w:numId w:val="0"/>
      </w:numPr>
    </w:pPr>
  </w:style>
  <w:style w:type="paragraph" w:styleId="TOC4">
    <w:name w:val="toc 4"/>
    <w:basedOn w:val="TOCBase"/>
    <w:next w:val="Normal"/>
    <w:semiHidden/>
    <w:rsid w:val="008B4D97"/>
    <w:pPr>
      <w:tabs>
        <w:tab w:val="right" w:leader="dot" w:pos="9071"/>
      </w:tabs>
      <w:ind w:left="1701"/>
    </w:pPr>
  </w:style>
  <w:style w:type="paragraph" w:customStyle="1" w:styleId="ListAlpha">
    <w:name w:val="List Alpha"/>
    <w:basedOn w:val="List"/>
    <w:rsid w:val="008B4D97"/>
    <w:pPr>
      <w:numPr>
        <w:numId w:val="9"/>
      </w:numPr>
    </w:pPr>
  </w:style>
  <w:style w:type="paragraph" w:customStyle="1" w:styleId="ListAlpha2">
    <w:name w:val="List Alpha 2"/>
    <w:basedOn w:val="List2"/>
    <w:rsid w:val="008B4D97"/>
    <w:pPr>
      <w:numPr>
        <w:numId w:val="8"/>
      </w:numPr>
    </w:pPr>
  </w:style>
  <w:style w:type="paragraph" w:styleId="List2">
    <w:name w:val="List 2"/>
    <w:basedOn w:val="BodyText"/>
    <w:rsid w:val="008B4D97"/>
    <w:pPr>
      <w:tabs>
        <w:tab w:val="left" w:pos="680"/>
      </w:tabs>
      <w:spacing w:before="60" w:after="60"/>
      <w:ind w:left="680" w:hanging="340"/>
    </w:pPr>
  </w:style>
  <w:style w:type="paragraph" w:styleId="List3">
    <w:name w:val="List 3"/>
    <w:basedOn w:val="BodyText"/>
    <w:rsid w:val="008B4D97"/>
    <w:pPr>
      <w:tabs>
        <w:tab w:val="left" w:pos="1021"/>
      </w:tabs>
      <w:spacing w:before="60" w:after="60"/>
      <w:ind w:left="1020" w:hanging="340"/>
    </w:pPr>
  </w:style>
  <w:style w:type="paragraph" w:styleId="List4">
    <w:name w:val="List 4"/>
    <w:basedOn w:val="BodyText"/>
    <w:rsid w:val="008B4D97"/>
    <w:pPr>
      <w:tabs>
        <w:tab w:val="left" w:pos="1361"/>
      </w:tabs>
      <w:spacing w:before="60" w:after="60"/>
      <w:ind w:left="1361" w:hanging="340"/>
    </w:pPr>
  </w:style>
  <w:style w:type="paragraph" w:styleId="List5">
    <w:name w:val="List 5"/>
    <w:basedOn w:val="BodyText"/>
    <w:rsid w:val="008B4D97"/>
    <w:pPr>
      <w:tabs>
        <w:tab w:val="left" w:pos="1701"/>
      </w:tabs>
      <w:spacing w:before="60" w:after="60"/>
      <w:ind w:left="1701" w:hanging="340"/>
    </w:pPr>
  </w:style>
  <w:style w:type="paragraph" w:styleId="ListBullet3">
    <w:name w:val="List Bullet 3"/>
    <w:basedOn w:val="List3"/>
    <w:rsid w:val="008B4D97"/>
    <w:pPr>
      <w:numPr>
        <w:numId w:val="14"/>
      </w:numPr>
      <w:tabs>
        <w:tab w:val="clear" w:pos="1021"/>
      </w:tabs>
      <w:ind w:left="1037" w:hanging="357"/>
    </w:pPr>
  </w:style>
  <w:style w:type="paragraph" w:styleId="ListBullet4">
    <w:name w:val="List Bullet 4"/>
    <w:basedOn w:val="List4"/>
    <w:rsid w:val="008B4D97"/>
    <w:pPr>
      <w:numPr>
        <w:numId w:val="3"/>
      </w:numPr>
      <w:tabs>
        <w:tab w:val="clear" w:pos="1361"/>
      </w:tabs>
    </w:pPr>
  </w:style>
  <w:style w:type="paragraph" w:styleId="ListBullet5">
    <w:name w:val="List Bullet 5"/>
    <w:basedOn w:val="List5"/>
    <w:rsid w:val="008B4D97"/>
    <w:pPr>
      <w:numPr>
        <w:numId w:val="4"/>
      </w:numPr>
    </w:pPr>
  </w:style>
  <w:style w:type="paragraph" w:styleId="ListContinue2">
    <w:name w:val="List Continue 2"/>
    <w:basedOn w:val="List2"/>
    <w:rsid w:val="008B4D97"/>
    <w:pPr>
      <w:ind w:firstLine="0"/>
    </w:pPr>
  </w:style>
  <w:style w:type="paragraph" w:styleId="ListContinue3">
    <w:name w:val="List Continue 3"/>
    <w:basedOn w:val="List3"/>
    <w:rsid w:val="008B4D97"/>
    <w:pPr>
      <w:ind w:left="1021" w:firstLine="0"/>
    </w:pPr>
  </w:style>
  <w:style w:type="paragraph" w:styleId="ListContinue4">
    <w:name w:val="List Continue 4"/>
    <w:basedOn w:val="List4"/>
    <w:rsid w:val="008B4D97"/>
    <w:pPr>
      <w:ind w:firstLine="0"/>
    </w:pPr>
  </w:style>
  <w:style w:type="paragraph" w:styleId="ListContinue5">
    <w:name w:val="List Continue 5"/>
    <w:basedOn w:val="List5"/>
    <w:rsid w:val="008B4D97"/>
    <w:pPr>
      <w:ind w:firstLine="0"/>
    </w:pPr>
  </w:style>
  <w:style w:type="paragraph" w:styleId="ListNumber3">
    <w:name w:val="List Number 3"/>
    <w:basedOn w:val="List3"/>
    <w:rsid w:val="008B4D97"/>
    <w:pPr>
      <w:numPr>
        <w:numId w:val="5"/>
      </w:numPr>
    </w:pPr>
  </w:style>
  <w:style w:type="paragraph" w:styleId="ListNumber4">
    <w:name w:val="List Number 4"/>
    <w:basedOn w:val="List4"/>
    <w:rsid w:val="008B4D97"/>
    <w:pPr>
      <w:numPr>
        <w:numId w:val="6"/>
      </w:numPr>
    </w:pPr>
  </w:style>
  <w:style w:type="paragraph" w:styleId="ListNumber5">
    <w:name w:val="List Number 5"/>
    <w:basedOn w:val="List5"/>
    <w:rsid w:val="008B4D97"/>
    <w:pPr>
      <w:numPr>
        <w:numId w:val="7"/>
      </w:numPr>
    </w:pPr>
  </w:style>
  <w:style w:type="paragraph" w:styleId="BlockText">
    <w:name w:val="Block Text"/>
    <w:basedOn w:val="Normal"/>
    <w:rsid w:val="008B4D97"/>
    <w:pPr>
      <w:spacing w:after="120"/>
      <w:ind w:left="1440" w:right="1440"/>
    </w:pPr>
  </w:style>
  <w:style w:type="character" w:customStyle="1" w:styleId="Subscript">
    <w:name w:val="Subscript"/>
    <w:basedOn w:val="DefaultParagraphFont"/>
    <w:rsid w:val="008B4D97"/>
    <w:rPr>
      <w:sz w:val="16"/>
      <w:vertAlign w:val="subscript"/>
    </w:rPr>
  </w:style>
  <w:style w:type="character" w:customStyle="1" w:styleId="Superscript">
    <w:name w:val="Superscript"/>
    <w:basedOn w:val="DefaultParagraphFont"/>
    <w:rsid w:val="008B4D97"/>
    <w:rPr>
      <w:sz w:val="16"/>
      <w:vertAlign w:val="superscript"/>
    </w:rPr>
  </w:style>
  <w:style w:type="character" w:customStyle="1" w:styleId="Symbols">
    <w:name w:val="Symbols"/>
    <w:basedOn w:val="DefaultParagraphFont"/>
    <w:rsid w:val="008B4D97"/>
    <w:rPr>
      <w:rFonts w:ascii="Symbol" w:hAnsi="Symbol"/>
    </w:rPr>
  </w:style>
  <w:style w:type="character" w:customStyle="1" w:styleId="MenuOptions">
    <w:name w:val="Menu Options"/>
    <w:basedOn w:val="DefaultParagraphFont"/>
    <w:rsid w:val="008B4D97"/>
    <w:rPr>
      <w:rFonts w:ascii="Arial Narrow" w:hAnsi="Arial Narrow"/>
      <w:smallCaps/>
    </w:rPr>
  </w:style>
  <w:style w:type="character" w:customStyle="1" w:styleId="Buttons">
    <w:name w:val="Buttons"/>
    <w:basedOn w:val="DefaultParagraphFont"/>
    <w:rsid w:val="008B4D97"/>
    <w:rPr>
      <w:b/>
    </w:rPr>
  </w:style>
  <w:style w:type="character" w:customStyle="1" w:styleId="Underlined">
    <w:name w:val="Underlined"/>
    <w:basedOn w:val="DefaultParagraphFont"/>
    <w:rsid w:val="008B4D97"/>
    <w:rPr>
      <w:u w:val="single"/>
    </w:rPr>
  </w:style>
  <w:style w:type="paragraph" w:customStyle="1" w:styleId="TableBodyTextRight">
    <w:name w:val="Table Body Text Right"/>
    <w:basedOn w:val="TableBodyText"/>
    <w:rsid w:val="008B4D97"/>
    <w:pPr>
      <w:widowControl w:val="0"/>
      <w:autoSpaceDE w:val="0"/>
      <w:autoSpaceDN w:val="0"/>
      <w:adjustRightInd w:val="0"/>
      <w:jc w:val="right"/>
    </w:pPr>
    <w:rPr>
      <w:rFonts w:cs="Arial"/>
      <w:szCs w:val="18"/>
    </w:rPr>
  </w:style>
  <w:style w:type="paragraph" w:customStyle="1" w:styleId="CopyrightText">
    <w:name w:val="Copyright Text"/>
    <w:basedOn w:val="BodyText"/>
    <w:rsid w:val="008B4D97"/>
    <w:rPr>
      <w:sz w:val="18"/>
    </w:rPr>
  </w:style>
  <w:style w:type="paragraph" w:customStyle="1" w:styleId="BodySmallRight">
    <w:name w:val="Body Small Right"/>
    <w:basedOn w:val="BodyTextRight"/>
    <w:rsid w:val="008B4D97"/>
    <w:rPr>
      <w:sz w:val="18"/>
      <w:szCs w:val="18"/>
    </w:rPr>
  </w:style>
  <w:style w:type="paragraph" w:customStyle="1" w:styleId="MarginEdition">
    <w:name w:val="Margin Edition"/>
    <w:basedOn w:val="MarginNote"/>
    <w:rsid w:val="008B4D97"/>
    <w:pPr>
      <w:spacing w:before="0" w:after="0"/>
    </w:pPr>
    <w:rPr>
      <w:rFonts w:ascii="Times New Roman" w:hAnsi="Times New Roman"/>
      <w:color w:val="999999"/>
    </w:rPr>
  </w:style>
  <w:style w:type="paragraph" w:customStyle="1" w:styleId="Spacer">
    <w:name w:val="Spacer"/>
    <w:basedOn w:val="Normal"/>
    <w:rsid w:val="008B4D97"/>
    <w:rPr>
      <w:sz w:val="2"/>
      <w:szCs w:val="2"/>
    </w:rPr>
  </w:style>
  <w:style w:type="character" w:customStyle="1" w:styleId="Small">
    <w:name w:val="Small"/>
    <w:basedOn w:val="DefaultParagraphFont"/>
    <w:rsid w:val="008B4D97"/>
    <w:rPr>
      <w:sz w:val="16"/>
    </w:rPr>
  </w:style>
  <w:style w:type="paragraph" w:customStyle="1" w:styleId="WideTable">
    <w:name w:val="Wide Table"/>
    <w:basedOn w:val="Normal"/>
    <w:rsid w:val="008B4D97"/>
    <w:pPr>
      <w:ind w:left="-1418"/>
    </w:pPr>
    <w:rPr>
      <w:sz w:val="2"/>
      <w:szCs w:val="2"/>
    </w:rPr>
  </w:style>
  <w:style w:type="character" w:styleId="PageNumber">
    <w:name w:val="page number"/>
    <w:basedOn w:val="DefaultParagraphFont"/>
    <w:rsid w:val="008B4D97"/>
  </w:style>
  <w:style w:type="paragraph" w:styleId="Quote">
    <w:name w:val="Quote"/>
    <w:basedOn w:val="Heading1"/>
    <w:link w:val="QuoteChar"/>
    <w:qFormat/>
    <w:rsid w:val="008B4D97"/>
    <w:rPr>
      <w:b w:val="0"/>
      <w:sz w:val="72"/>
      <w:szCs w:val="72"/>
      <w:lang w:val="en-NZ"/>
    </w:rPr>
  </w:style>
  <w:style w:type="character" w:customStyle="1" w:styleId="QuoteChar">
    <w:name w:val="Quote Char"/>
    <w:basedOn w:val="DefaultParagraphFont"/>
    <w:link w:val="Quote"/>
    <w:rsid w:val="008B4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D97"/>
    <w:pPr>
      <w:pageBreakBefore/>
    </w:pPr>
  </w:style>
  <w:style w:type="paragraph" w:customStyle="1" w:styleId="Border">
    <w:name w:val="Border"/>
    <w:basedOn w:val="Normal"/>
    <w:qFormat/>
    <w:rsid w:val="008B4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D97"/>
    <w:rPr>
      <w:b/>
      <w:bCs/>
      <w:i/>
      <w:iCs/>
      <w:color w:val="auto"/>
    </w:rPr>
  </w:style>
  <w:style w:type="paragraph" w:styleId="IntenseQuote">
    <w:name w:val="Intense Quote"/>
    <w:basedOn w:val="Normal"/>
    <w:next w:val="Normal"/>
    <w:link w:val="IntenseQuoteChar"/>
    <w:uiPriority w:val="30"/>
    <w:qFormat/>
    <w:rsid w:val="008B4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D97"/>
    <w:rPr>
      <w:smallCaps/>
      <w:color w:val="auto"/>
      <w:u w:val="single"/>
    </w:rPr>
  </w:style>
  <w:style w:type="character" w:styleId="IntenseReference">
    <w:name w:val="Intense Reference"/>
    <w:basedOn w:val="DefaultParagraphFont"/>
    <w:uiPriority w:val="32"/>
    <w:qFormat/>
    <w:rsid w:val="008B4D97"/>
    <w:rPr>
      <w:b/>
      <w:bCs/>
      <w:smallCaps/>
      <w:color w:val="auto"/>
      <w:spacing w:val="5"/>
      <w:u w:val="single"/>
    </w:rPr>
  </w:style>
  <w:style w:type="paragraph" w:customStyle="1" w:styleId="2ColumnHeading">
    <w:name w:val="2Column Heading"/>
    <w:basedOn w:val="BodyText"/>
    <w:qFormat/>
    <w:rsid w:val="008B4D97"/>
    <w:pPr>
      <w:spacing w:after="60"/>
      <w:ind w:left="-2268"/>
    </w:pPr>
    <w:rPr>
      <w:b/>
    </w:rPr>
  </w:style>
  <w:style w:type="paragraph" w:customStyle="1" w:styleId="Heading1TOC">
    <w:name w:val="Heading1 TOC"/>
    <w:basedOn w:val="Normal"/>
    <w:qFormat/>
    <w:rsid w:val="008B4D97"/>
    <w:pPr>
      <w:spacing w:before="240" w:after="120"/>
    </w:pPr>
    <w:rPr>
      <w:rFonts w:ascii="Times New Roman" w:hAnsi="Times New Roman"/>
      <w:b/>
      <w:sz w:val="32"/>
    </w:rPr>
  </w:style>
  <w:style w:type="paragraph" w:customStyle="1" w:styleId="Heading2TOC">
    <w:name w:val="Heading2 TOC"/>
    <w:basedOn w:val="Normal"/>
    <w:qFormat/>
    <w:rsid w:val="008B4D97"/>
    <w:pPr>
      <w:spacing w:before="240" w:after="60"/>
    </w:pPr>
    <w:rPr>
      <w:rFonts w:ascii="Times New Roman" w:hAnsi="Times New Roman"/>
      <w:b/>
      <w:sz w:val="28"/>
    </w:rPr>
  </w:style>
  <w:style w:type="character" w:customStyle="1" w:styleId="Underline">
    <w:name w:val="Underline"/>
    <w:basedOn w:val="DefaultParagraphFont"/>
    <w:qFormat/>
    <w:rsid w:val="008B4D97"/>
    <w:rPr>
      <w:u w:val="single"/>
    </w:rPr>
  </w:style>
  <w:style w:type="character" w:customStyle="1" w:styleId="BoldandItalics">
    <w:name w:val="Bold and Italics"/>
    <w:qFormat/>
    <w:rsid w:val="008B4D97"/>
    <w:rPr>
      <w:b/>
      <w:i/>
      <w:u w:val="none"/>
    </w:rPr>
  </w:style>
  <w:style w:type="paragraph" w:styleId="BalloonText">
    <w:name w:val="Balloon Text"/>
    <w:basedOn w:val="Normal"/>
    <w:link w:val="BalloonTextChar"/>
    <w:rsid w:val="008B4D97"/>
    <w:rPr>
      <w:rFonts w:ascii="Tahoma" w:hAnsi="Tahoma" w:cs="Tahoma"/>
      <w:sz w:val="16"/>
      <w:szCs w:val="16"/>
    </w:rPr>
  </w:style>
  <w:style w:type="character" w:customStyle="1" w:styleId="BalloonTextChar">
    <w:name w:val="Balloon Text Char"/>
    <w:basedOn w:val="DefaultParagraphFont"/>
    <w:link w:val="BalloonText"/>
    <w:rsid w:val="008B4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D97"/>
    <w:rPr>
      <w:b/>
      <w:color w:val="660033"/>
      <w:spacing w:val="0"/>
    </w:rPr>
  </w:style>
  <w:style w:type="paragraph" w:customStyle="1" w:styleId="Nameditemlist">
    <w:name w:val="Named item list"/>
    <w:basedOn w:val="BodyText"/>
    <w:qFormat/>
    <w:rsid w:val="008B4D97"/>
    <w:pPr>
      <w:tabs>
        <w:tab w:val="left" w:pos="2835"/>
      </w:tabs>
      <w:ind w:left="2835" w:hanging="2835"/>
    </w:pPr>
  </w:style>
  <w:style w:type="paragraph" w:customStyle="1" w:styleId="BodyTextnopadding">
    <w:name w:val="Body Text no padding"/>
    <w:basedOn w:val="BodyText"/>
    <w:qFormat/>
    <w:rsid w:val="008B4D97"/>
    <w:pPr>
      <w:spacing w:before="0" w:after="0"/>
    </w:pPr>
  </w:style>
  <w:style w:type="paragraph" w:customStyle="1" w:styleId="BodyTextBold">
    <w:name w:val="Body Text Bold"/>
    <w:basedOn w:val="BodyText"/>
    <w:qFormat/>
    <w:rsid w:val="008B4D97"/>
    <w:rPr>
      <w:b/>
    </w:rPr>
  </w:style>
  <w:style w:type="character" w:styleId="Hyperlink">
    <w:name w:val="Hyperlink"/>
    <w:basedOn w:val="DefaultParagraphFont"/>
    <w:uiPriority w:val="99"/>
    <w:unhideWhenUsed/>
    <w:rsid w:val="00501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6775</Characters>
  <Application>Microsoft Office Word</Application>
  <DocSecurity>0</DocSecurity>
  <Lines>260</Lines>
  <Paragraphs>222</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CPC33020 Certificate III in Bricklaying and Blocklaying</dc:title>
  <dc:subject>Approved</dc:subject>
  <dc:creator>BuildSkills Australia</dc:creator>
  <cp:keywords>Release: 5</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