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9AE" w:rsidP="009929AE">
      <w:pPr>
        <w:pStyle w:val="Title"/>
      </w:pPr>
      <w:r>
        <w:fldChar w:fldCharType="begin"/>
      </w:r>
      <w:r>
        <w:instrText xml:space="preserve"> TITLE   \* MERGEFORMAT </w:instrText>
      </w:r>
      <w:r>
        <w:fldChar w:fldCharType="separate"/>
      </w:r>
      <w:r>
        <w:t>CPC30318 Certificate</w:t>
      </w:r>
      <w:r>
        <w:t xml:space="preserve"> III in Concreting</w:t>
      </w:r>
      <w:r>
        <w:fldChar w:fldCharType="end"/>
      </w:r>
    </w:p>
    <w:p w:rsidR="009929AE" w:rsidP="009929AE">
      <w:pPr>
        <w:pStyle w:val="Version"/>
        <w:sectPr w:rsidSect="00991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EB1" w:rsidP="00991EB1">
      <w:pPr>
        <w:pStyle w:val="SuperHeading"/>
      </w:pPr>
      <w:r w:rsidRPr="00991EB1">
        <w:t>CPC30318 Certificate III in Concreting</w:t>
      </w:r>
    </w:p>
    <w:p w:rsidR="00000000" w:rsidRPr="00991EB1" w:rsidP="00991EB1">
      <w:pPr>
        <w:pStyle w:val="Heading1"/>
      </w:pPr>
      <w:bookmarkStart w:id="1" w:name="O_1014249"/>
      <w:bookmarkEnd w:id="1"/>
      <w:r w:rsidRPr="00991EB1">
        <w:t>Modification History</w:t>
      </w:r>
    </w:p>
    <w:p w:rsidR="00000000" w:rsidRPr="00991EB1" w:rsidP="009929AE">
      <w:r w:rsidRPr="00991EB1">
        <w:t>Release 1.</w:t>
      </w:r>
    </w:p>
    <w:p w:rsidR="00000000" w:rsidRPr="00991EB1" w:rsidP="009929AE">
      <w:r w:rsidRPr="00991EB1">
        <w:t>Supersedes and replaces CPC30313 Certificate III in Concreting.</w:t>
      </w:r>
    </w:p>
    <w:p w:rsidR="00000000" w:rsidRPr="00991EB1" w:rsidP="009929AE">
      <w:r w:rsidRPr="00991EB1">
        <w:t>The unit of competency was updated to the Standards for Training Packages 2012.</w:t>
      </w:r>
    </w:p>
    <w:p w:rsidR="00000000" w:rsidRPr="00991EB1" w:rsidP="009929AE">
      <w:pPr>
        <w:pStyle w:val="BodyText"/>
      </w:pPr>
      <w:r w:rsidRPr="00991EB1">
        <w:t>This version first released with CPC Construction, Plumbing and Services Trainin</w:t>
      </w:r>
      <w:r w:rsidRPr="00991EB1">
        <w:t>g Package Version 4.0.</w:t>
      </w:r>
    </w:p>
    <w:p w:rsidR="00000000" w:rsidRPr="00991EB1" w:rsidP="00991EB1">
      <w:pPr>
        <w:pStyle w:val="Heading1"/>
      </w:pPr>
      <w:bookmarkStart w:id="2" w:name="O_1014250"/>
      <w:bookmarkEnd w:id="2"/>
      <w:r w:rsidRPr="00991EB1">
        <w:t>Qualification Description</w:t>
      </w:r>
    </w:p>
    <w:p w:rsidR="00000000" w:rsidRPr="00991EB1" w:rsidP="009929AE">
      <w:pPr>
        <w:pStyle w:val="BodyText"/>
      </w:pPr>
      <w:r w:rsidRPr="00991EB1">
        <w:t>This qualification reflects the role of concreters working in concreting operations on residential and commercial projects.</w:t>
      </w:r>
    </w:p>
    <w:p w:rsidR="00000000" w:rsidRPr="00991EB1" w:rsidP="009929AE">
      <w:pPr>
        <w:pStyle w:val="BodyText"/>
      </w:pPr>
      <w:r w:rsidRPr="00991EB1">
        <w:t>Occupational titles include:</w:t>
      </w:r>
    </w:p>
    <w:p w:rsidR="00000000" w:rsidRPr="00991EB1" w:rsidP="00991EB1">
      <w:pPr>
        <w:pStyle w:val="ListBullet"/>
      </w:pPr>
      <w:r w:rsidRPr="00991EB1">
        <w:t>concreter</w:t>
      </w:r>
    </w:p>
    <w:p w:rsidR="00000000" w:rsidRPr="00991EB1" w:rsidP="00991EB1">
      <w:pPr>
        <w:pStyle w:val="ListBullet"/>
      </w:pPr>
      <w:r w:rsidRPr="00991EB1">
        <w:t>concrete tilt panel fabr</w:t>
      </w:r>
      <w:r w:rsidRPr="00991EB1">
        <w:t>icator.</w:t>
      </w:r>
    </w:p>
    <w:p w:rsidR="00000000" w:rsidRPr="00991EB1" w:rsidP="009929AE">
      <w:pPr>
        <w:pStyle w:val="BodyText"/>
      </w:pPr>
      <w:r w:rsidRPr="00991EB1">
        <w:t>The qualification has core unit of competency requirements that cover common skills for the construction industry, as well as a specialist field of work (i.e. concreting).</w:t>
      </w:r>
    </w:p>
    <w:p w:rsidR="00000000" w:rsidRPr="00991EB1" w:rsidP="009929AE">
      <w:pPr>
        <w:pStyle w:val="BodyText"/>
      </w:pPr>
      <w:r w:rsidRPr="00991EB1">
        <w:t>The construction industry strongly affirms that training and assessment lead</w:t>
      </w:r>
      <w:r w:rsidRPr="00991EB1">
        <w:t>ing to recognition of skills must be undertaken in an actual workplace or very closely simulated workplace environment, and this qualification requires all units of competency to be delivered in this context.</w:t>
      </w:r>
    </w:p>
    <w:p w:rsidR="00000000" w:rsidRPr="00991EB1" w:rsidP="009929AE">
      <w:pPr>
        <w:pStyle w:val="BodyText"/>
      </w:pPr>
      <w:r w:rsidRPr="00991EB1">
        <w:t>Licensing, legislative, regulatory or certifica</w:t>
      </w:r>
      <w:r w:rsidRPr="00991EB1">
        <w:t>tion requirements apply to concreting in some states and territories. Relevant state and territory regulatory authorities should be consulted to confirm these requirements.</w:t>
      </w:r>
    </w:p>
    <w:p w:rsidR="00000000" w:rsidRPr="00991EB1" w:rsidP="00991EB1">
      <w:pPr>
        <w:pStyle w:val="Heading1"/>
      </w:pPr>
      <w:bookmarkStart w:id="3" w:name="O_1014251"/>
      <w:bookmarkEnd w:id="3"/>
      <w:r w:rsidRPr="00991EB1">
        <w:t>Entry Requirements</w:t>
      </w:r>
    </w:p>
    <w:p w:rsidR="00000000" w:rsidRPr="00991EB1" w:rsidP="009929AE">
      <w:pPr>
        <w:pStyle w:val="BodyText"/>
      </w:pPr>
      <w:r w:rsidRPr="00991EB1">
        <w:t>There are no entry requirements for this qual</w:t>
      </w:r>
      <w:r w:rsidRPr="00991EB1">
        <w:t>ification.</w:t>
      </w:r>
    </w:p>
    <w:p w:rsidR="00000000" w:rsidRPr="00991EB1" w:rsidP="00991EB1">
      <w:pPr>
        <w:pStyle w:val="Heading1"/>
      </w:pPr>
      <w:bookmarkStart w:id="4" w:name="O_1014252"/>
      <w:bookmarkEnd w:id="4"/>
      <w:r w:rsidRPr="00991EB1">
        <w:t>Packaging Rules</w:t>
      </w:r>
    </w:p>
    <w:p w:rsidR="00000000" w:rsidRPr="00991EB1" w:rsidP="009929AE">
      <w:pPr>
        <w:pStyle w:val="BodyText"/>
      </w:pPr>
      <w:r w:rsidRPr="00991EB1">
        <w:t>To achieve this qualification, competency must be demonstrated in:</w:t>
      </w:r>
    </w:p>
    <w:p w:rsidR="00000000" w:rsidRPr="00991EB1" w:rsidP="00991EB1">
      <w:pPr>
        <w:pStyle w:val="ListBullet"/>
      </w:pPr>
      <w:r w:rsidRPr="00991EB1">
        <w:t>20 units of competency:</w:t>
      </w:r>
    </w:p>
    <w:p w:rsidR="00000000" w:rsidRPr="00991EB1" w:rsidP="00991EB1">
      <w:pPr>
        <w:pStyle w:val="ListBullet2"/>
      </w:pPr>
      <w:r w:rsidRPr="00991EB1">
        <w:t>15 core units</w:t>
      </w:r>
    </w:p>
    <w:p w:rsidR="00000000" w:rsidRPr="00991EB1" w:rsidP="00991EB1">
      <w:pPr>
        <w:pStyle w:val="ListBullet2"/>
      </w:pPr>
      <w:r w:rsidRPr="00991EB1">
        <w:t>5 elective units.</w:t>
      </w:r>
    </w:p>
    <w:p w:rsidR="00000000" w:rsidRPr="00991EB1" w:rsidP="00991EB1">
      <w:pPr>
        <w:pStyle w:val="BodyText"/>
      </w:pPr>
    </w:p>
    <w:p w:rsidR="00000000" w:rsidRPr="00991EB1" w:rsidP="009929AE">
      <w:pPr>
        <w:pStyle w:val="BodyText"/>
      </w:pPr>
      <w:r w:rsidRPr="00991EB1">
        <w:t>The elective units must ensure the integrity of the AQF qualification level, contribute to a valid, industry-supported vocational outcome, and are to be chosen as follows:</w:t>
      </w:r>
    </w:p>
    <w:p w:rsidR="00000000" w:rsidRPr="00991EB1" w:rsidP="00991EB1">
      <w:pPr>
        <w:pStyle w:val="ListBullet"/>
      </w:pPr>
      <w:r w:rsidRPr="00991EB1">
        <w:t>a minimum of three elective units must be chosen from the Group A concreting electi</w:t>
      </w:r>
      <w:r w:rsidRPr="00991EB1">
        <w:t>ve units listed below</w:t>
      </w:r>
    </w:p>
    <w:p w:rsidR="00000000" w:rsidRPr="00991EB1" w:rsidP="00991EB1">
      <w:pPr>
        <w:pStyle w:val="ListBullet"/>
      </w:pPr>
      <w:r w:rsidRPr="00991EB1">
        <w:t>the remaining two elective units may be chosen from:</w:t>
      </w:r>
    </w:p>
    <w:p w:rsidR="00000000" w:rsidRPr="00991EB1" w:rsidP="00991EB1">
      <w:pPr>
        <w:pStyle w:val="ListBullet2"/>
      </w:pPr>
      <w:r w:rsidRPr="00991EB1">
        <w:t>the remaining Group A concreting elective units listed below</w:t>
      </w:r>
    </w:p>
    <w:p w:rsidR="00000000" w:rsidRPr="00991EB1" w:rsidP="00991EB1">
      <w:pPr>
        <w:pStyle w:val="ListBullet2"/>
      </w:pPr>
      <w:r w:rsidRPr="00991EB1">
        <w:t xml:space="preserve">the Group B general elective units listed below </w:t>
      </w:r>
    </w:p>
    <w:p w:rsidR="00000000" w:rsidRPr="00991EB1" w:rsidP="00991EB1">
      <w:pPr>
        <w:pStyle w:val="ListBullet2"/>
      </w:pPr>
      <w:r w:rsidRPr="00991EB1">
        <w:t>other units packaged in a Certificate III or Certificate IV qualificat</w:t>
      </w:r>
      <w:r w:rsidRPr="00991EB1">
        <w:t>ion in the CPC Construction, Plumbing and Services Training Package, CPC08 Construction, Plumbing and Services Training Package, or other current Training Packages or accredited courses provided they do not duplicate the outcome of another unit already cho</w:t>
      </w:r>
      <w:r w:rsidRPr="00991EB1">
        <w:t>sen for the qualification.</w:t>
      </w:r>
    </w:p>
    <w:p w:rsidR="00000000" w:rsidRPr="00991EB1" w:rsidP="00991EB1">
      <w:pPr>
        <w:pStyle w:val="BodyText"/>
      </w:pPr>
    </w:p>
    <w:p w:rsidR="00000000" w:rsidRPr="00991EB1" w:rsidP="009929AE">
      <w:pPr>
        <w:pStyle w:val="Heading4"/>
      </w:pPr>
      <w:r w:rsidRPr="00991EB1">
        <w:rPr>
          <w:rStyle w:val="SpecialBold"/>
        </w:rPr>
        <w:t>Prerequisite units of competency</w:t>
      </w:r>
    </w:p>
    <w:p w:rsidR="00000000" w:rsidRPr="00991EB1" w:rsidP="009929AE">
      <w:pPr>
        <w:pStyle w:val="BodyText"/>
      </w:pPr>
      <w:r w:rsidRPr="00991EB1">
        <w:t>An asterisk against a unit code below indicates that there is a prerequisite requirement that must be met.</w:t>
      </w:r>
    </w:p>
    <w:p w:rsidR="00000000" w:rsidRPr="00991EB1" w:rsidP="009929AE">
      <w:pPr>
        <w:pStyle w:val="BodyText"/>
      </w:pPr>
      <w:r w:rsidRPr="00991EB1">
        <w:t>In this instance, all units with an asterisk have the following unit as a prerequisite u</w:t>
      </w:r>
      <w:r w:rsidRPr="00991EB1">
        <w:t>nit:</w:t>
      </w:r>
    </w:p>
    <w:p w:rsidR="00000000" w:rsidRPr="00991EB1" w:rsidP="00991EB1">
      <w:pPr>
        <w:pStyle w:val="ListBullet"/>
      </w:pPr>
      <w:r w:rsidRPr="00991EB1">
        <w:t>CPCCWHS2001 Apply OHS requirements, policies and procedures in the construction industry.</w:t>
      </w:r>
    </w:p>
    <w:p w:rsidR="00000000" w:rsidRPr="00991EB1" w:rsidP="009929AE">
      <w:pPr>
        <w:pStyle w:val="BodyText"/>
      </w:pPr>
      <w:r w:rsidRPr="00991EB1">
        <w:t xml:space="preserve">This prerequisite unit must be assessed before assessment of any unit of competency with an asterisk; therefore, it is recommended that the prerequisite </w:t>
      </w:r>
      <w:r w:rsidRPr="00991EB1">
        <w:t>unit be the first unit delivered and assessed in the qualification.</w:t>
      </w:r>
    </w:p>
    <w:tbl>
      <w:tblPr>
        <w:tblW w:w="0" w:type="auto"/>
        <w:tblLayout w:type="fixed"/>
        <w:tblCellMar>
          <w:left w:w="62" w:type="dxa"/>
          <w:right w:w="62" w:type="dxa"/>
        </w:tblCellMar>
        <w:tblLook w:val="0000"/>
      </w:tblPr>
      <w:tblGrid>
        <w:gridCol w:w="1571"/>
        <w:gridCol w:w="7563"/>
      </w:tblGrid>
      <w:tr w:rsidTr="00991EB1">
        <w:tblPrEx>
          <w:tblW w:w="0" w:type="auto"/>
          <w:tblLayout w:type="fixed"/>
          <w:tblCellMar>
            <w:left w:w="62" w:type="dxa"/>
            <w:right w:w="62" w:type="dxa"/>
          </w:tblCellMar>
          <w:tblLook w:val="0000"/>
        </w:tblPrEx>
        <w:trPr>
          <w:trHeight w:val="531"/>
        </w:trPr>
        <w:tc>
          <w:tcPr>
            <w:tcW w:w="9134" w:type="dxa"/>
            <w:gridSpan w:val="2"/>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rPr>
                <w:rStyle w:val="SpecialBold"/>
              </w:rPr>
              <w:t>Core units</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CPCCCA2003*</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Erect and dismantle formwork for footings and slabs on ground</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CPCCCM1012</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Work effectively and sustainably in the construction industry</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CPCCCM1013</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Plan and organise work</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CPCCCM1014</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Conduct workplace communication</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CPCCCM1015</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Carry out measurements and calculations</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CPCCCM2001</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Read and interpret plans and specifications</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CPCCCM2006</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 xml:space="preserve">Apply basic levelling procedures </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CPCCCO2021*</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Handle concreting mate</w:t>
            </w:r>
            <w:r w:rsidRPr="00991EB1">
              <w:t>rials</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CPCCCO2022*</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 xml:space="preserve">Select, check and maintain concreting plant, tools and equipment </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CPCCCO3041*</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Place concrete</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CPCCCO3042*</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Finish concrete</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CPCCCO3043*</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Cure concrete</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CPCCCO3053*</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Slump-test concrete</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CPCCSF2004*</w:t>
            </w:r>
          </w:p>
        </w:tc>
        <w:tc>
          <w:tcPr>
            <w:tcW w:w="756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Place and fix reinforcement materials</w:t>
            </w:r>
          </w:p>
        </w:tc>
      </w:tr>
      <w:tr w:rsidTr="00991EB1">
        <w:tblPrEx>
          <w:tblW w:w="0" w:type="auto"/>
          <w:tblLayout w:type="fixed"/>
          <w:tblCellMar>
            <w:left w:w="62" w:type="dxa"/>
            <w:right w:w="62" w:type="dxa"/>
          </w:tblCellMar>
          <w:tblLook w:val="0000"/>
        </w:tblPrEx>
        <w:trPr>
          <w:trHeight w:val="454"/>
        </w:trPr>
        <w:tc>
          <w:tcPr>
            <w:tcW w:w="1571"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CPCCWHS2001</w:t>
            </w:r>
          </w:p>
        </w:tc>
        <w:tc>
          <w:tcPr>
            <w:tcW w:w="7563" w:type="dxa"/>
            <w:tcBorders>
              <w:top w:val="nil"/>
              <w:left w:val="nil"/>
              <w:bottom w:val="nil"/>
              <w:right w:val="nil"/>
            </w:tcBorders>
            <w:tcMar>
              <w:top w:w="0" w:type="dxa"/>
              <w:left w:w="62" w:type="dxa"/>
              <w:bottom w:w="0" w:type="dxa"/>
              <w:right w:w="62" w:type="dxa"/>
            </w:tcMar>
          </w:tcPr>
          <w:p w:rsidR="00000000" w:rsidRPr="00991EB1" w:rsidP="00991EB1">
            <w:pPr>
              <w:pStyle w:val="BodyText"/>
            </w:pPr>
            <w:r w:rsidRPr="00991EB1">
              <w:t>Apply WHS requirements, policies and procedures in the construction industry</w:t>
            </w:r>
          </w:p>
        </w:tc>
      </w:tr>
    </w:tbl>
    <w:p w:rsidR="00000000" w:rsidRPr="00991EB1" w:rsidP="00991EB1">
      <w:pPr>
        <w:pStyle w:val="BodyText"/>
      </w:pPr>
    </w:p>
    <w:tbl>
      <w:tblPr>
        <w:tblW w:w="0" w:type="auto"/>
        <w:tblLayout w:type="fixed"/>
        <w:tblCellMar>
          <w:left w:w="62" w:type="dxa"/>
          <w:right w:w="62" w:type="dxa"/>
        </w:tblCellMar>
        <w:tblLook w:val="0000"/>
      </w:tblPr>
      <w:tblGrid>
        <w:gridCol w:w="2079"/>
        <w:gridCol w:w="7055"/>
      </w:tblGrid>
      <w:tr w:rsidTr="00991EB1">
        <w:tblPrEx>
          <w:tblW w:w="0" w:type="auto"/>
          <w:tblLayout w:type="fixed"/>
          <w:tblCellMar>
            <w:left w:w="62" w:type="dxa"/>
            <w:right w:w="62" w:type="dxa"/>
          </w:tblCellMar>
          <w:tblLook w:val="0000"/>
        </w:tblPrEx>
        <w:trPr>
          <w:trHeight w:val="454"/>
        </w:trPr>
        <w:tc>
          <w:tcPr>
            <w:tcW w:w="9134" w:type="dxa"/>
            <w:gridSpan w:val="2"/>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rPr>
                <w:rStyle w:val="SpecialBold"/>
              </w:rPr>
              <w:t>Group A: Concreting elective units</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CPCCCO3035*</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Assess and specify concrete supply requirements</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CPCCCO3036*</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Plan concrete work and brief team</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CPCCCO3044*</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Apply decorative finishes to concrete</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CPCCCO3046*</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Repair and rectify concrete</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CPCCCO3047*</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Cut and core concrete</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CPCCCO3048*</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Construct tilt panels on site</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CPCCCO3049*</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Apply and finish sprayed concrete</w:t>
            </w:r>
          </w:p>
        </w:tc>
      </w:tr>
      <w:tr w:rsidTr="00991EB1">
        <w:tblPrEx>
          <w:tblW w:w="0" w:type="auto"/>
          <w:tblLayout w:type="fixed"/>
          <w:tblCellMar>
            <w:left w:w="62" w:type="dxa"/>
            <w:right w:w="62" w:type="dxa"/>
          </w:tblCellMar>
          <w:tblLook w:val="0000"/>
        </w:tblPrEx>
        <w:trPr>
          <w:trHeight w:val="454"/>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CPCCCO3050*</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Carry out high performance concreting</w:t>
            </w:r>
          </w:p>
        </w:tc>
      </w:tr>
      <w:tr w:rsidTr="00991EB1">
        <w:tblPrEx>
          <w:tblW w:w="0" w:type="auto"/>
          <w:tblLayout w:type="fixed"/>
          <w:tblCellMar>
            <w:left w:w="62" w:type="dxa"/>
            <w:right w:w="62" w:type="dxa"/>
          </w:tblCellMar>
          <w:tblLook w:val="0000"/>
        </w:tblPrEx>
        <w:trPr>
          <w:trHeight w:val="419"/>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CPCCCO3051*</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Conduct off-form vertical concrete operations</w:t>
            </w:r>
          </w:p>
        </w:tc>
      </w:tr>
      <w:tr w:rsidTr="00991EB1">
        <w:tblPrEx>
          <w:tblW w:w="0" w:type="auto"/>
          <w:tblLayout w:type="fixed"/>
          <w:tblCellMar>
            <w:left w:w="62" w:type="dxa"/>
            <w:right w:w="62" w:type="dxa"/>
          </w:tblCellMar>
          <w:tblLook w:val="0000"/>
        </w:tblPrEx>
        <w:trPr>
          <w:trHeight w:val="419"/>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CPCCCO3052*</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Conduct concrete boom delivery operations</w:t>
            </w:r>
          </w:p>
        </w:tc>
      </w:tr>
      <w:tr w:rsidTr="00991EB1">
        <w:tblPrEx>
          <w:tblW w:w="0" w:type="auto"/>
          <w:tblLayout w:type="fixed"/>
          <w:tblCellMar>
            <w:left w:w="62" w:type="dxa"/>
            <w:right w:w="62" w:type="dxa"/>
          </w:tblCellMar>
          <w:tblLook w:val="0000"/>
        </w:tblPrEx>
        <w:trPr>
          <w:trHeight w:val="447"/>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CPCCCO3054*</w:t>
            </w:r>
          </w:p>
        </w:tc>
        <w:tc>
          <w:tcPr>
            <w:tcW w:w="7055"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Operate concrete agitator trucks</w:t>
            </w:r>
          </w:p>
        </w:tc>
      </w:tr>
      <w:tr w:rsidTr="00991EB1">
        <w:tblPrEx>
          <w:tblW w:w="0" w:type="auto"/>
          <w:tblLayout w:type="fixed"/>
          <w:tblCellMar>
            <w:left w:w="62" w:type="dxa"/>
            <w:right w:w="62" w:type="dxa"/>
          </w:tblCellMar>
          <w:tblLook w:val="0000"/>
        </w:tblPrEx>
        <w:trPr>
          <w:trHeight w:val="447"/>
        </w:trPr>
        <w:tc>
          <w:tcPr>
            <w:tcW w:w="2079"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CPCCCO3055*</w:t>
            </w:r>
          </w:p>
        </w:tc>
        <w:tc>
          <w:tcPr>
            <w:tcW w:w="7055" w:type="dxa"/>
            <w:tcBorders>
              <w:top w:val="nil"/>
              <w:left w:val="nil"/>
              <w:bottom w:val="nil"/>
              <w:right w:val="nil"/>
            </w:tcBorders>
            <w:tcMar>
              <w:top w:w="0" w:type="dxa"/>
              <w:left w:w="62" w:type="dxa"/>
              <w:bottom w:w="0" w:type="dxa"/>
              <w:right w:w="62" w:type="dxa"/>
            </w:tcMar>
          </w:tcPr>
          <w:p w:rsidR="00000000" w:rsidRPr="00991EB1" w:rsidP="00991EB1">
            <w:pPr>
              <w:pStyle w:val="BodyText"/>
            </w:pPr>
            <w:r w:rsidRPr="00991EB1">
              <w:t>Install topping slabs</w:t>
            </w:r>
          </w:p>
        </w:tc>
      </w:tr>
    </w:tbl>
    <w:p w:rsidR="00000000" w:rsidRPr="00991EB1" w:rsidP="00991EB1">
      <w:pPr>
        <w:pStyle w:val="BodyText"/>
      </w:pPr>
    </w:p>
    <w:tbl>
      <w:tblPr>
        <w:tblW w:w="0" w:type="auto"/>
        <w:tblLayout w:type="fixed"/>
        <w:tblCellMar>
          <w:left w:w="62" w:type="dxa"/>
          <w:right w:w="62" w:type="dxa"/>
        </w:tblCellMar>
        <w:tblLook w:val="0000"/>
      </w:tblPr>
      <w:tblGrid>
        <w:gridCol w:w="1894"/>
        <w:gridCol w:w="6443"/>
      </w:tblGrid>
      <w:tr w:rsidTr="00991EB1">
        <w:tblPrEx>
          <w:tblW w:w="0" w:type="auto"/>
          <w:tblLayout w:type="fixed"/>
          <w:tblCellMar>
            <w:left w:w="62" w:type="dxa"/>
            <w:right w:w="62" w:type="dxa"/>
          </w:tblCellMar>
          <w:tblLook w:val="0000"/>
        </w:tblPrEx>
        <w:trPr>
          <w:trHeight w:val="448"/>
        </w:trPr>
        <w:tc>
          <w:tcPr>
            <w:tcW w:w="8337" w:type="dxa"/>
            <w:gridSpan w:val="2"/>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rPr>
                <w:rStyle w:val="SpecialBold"/>
              </w:rPr>
              <w:t>Group B: General elective units</w:t>
            </w:r>
          </w:p>
        </w:tc>
      </w:tr>
      <w:tr w:rsidTr="00991EB1">
        <w:tblPrEx>
          <w:tblW w:w="0" w:type="auto"/>
          <w:tblLayout w:type="fixed"/>
          <w:tblCellMar>
            <w:left w:w="62" w:type="dxa"/>
            <w:right w:w="62" w:type="dxa"/>
          </w:tblCellMar>
          <w:tblLook w:val="0000"/>
        </w:tblPrEx>
        <w:trPr>
          <w:trHeight w:val="428"/>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CPCCCA3001*</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 xml:space="preserve">Carry out general demolition of minor building structures </w:t>
            </w:r>
          </w:p>
        </w:tc>
      </w:tr>
      <w:tr w:rsidTr="00991EB1">
        <w:tblPrEx>
          <w:tblW w:w="0" w:type="auto"/>
          <w:tblLayout w:type="fixed"/>
          <w:tblCellMar>
            <w:left w:w="62" w:type="dxa"/>
            <w:right w:w="62" w:type="dxa"/>
          </w:tblCellMar>
          <w:tblLook w:val="0000"/>
        </w:tblPrEx>
        <w:trPr>
          <w:trHeight w:val="407"/>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CPCCCM1016</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Identify requirements for safe tilt-up work</w:t>
            </w:r>
          </w:p>
        </w:tc>
      </w:tr>
      <w:tr w:rsidTr="00991EB1">
        <w:tblPrEx>
          <w:tblW w:w="0" w:type="auto"/>
          <w:tblLayout w:type="fixed"/>
          <w:tblCellMar>
            <w:left w:w="62" w:type="dxa"/>
            <w:right w:w="62" w:type="dxa"/>
          </w:tblCellMar>
          <w:tblLook w:val="0000"/>
        </w:tblPrEx>
        <w:trPr>
          <w:trHeight w:val="428"/>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CPCCCM2007*</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Use explosive power tools</w:t>
            </w:r>
          </w:p>
        </w:tc>
      </w:tr>
      <w:tr w:rsidTr="00991EB1">
        <w:tblPrEx>
          <w:tblW w:w="0" w:type="auto"/>
          <w:tblLayout w:type="fixed"/>
          <w:tblCellMar>
            <w:left w:w="62" w:type="dxa"/>
            <w:right w:w="62" w:type="dxa"/>
          </w:tblCellMar>
          <w:tblLook w:val="0000"/>
        </w:tblPrEx>
        <w:trPr>
          <w:trHeight w:val="407"/>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CPCCCM2008*</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 xml:space="preserve">Erect and dismantle restricted height scaffolding </w:t>
            </w:r>
          </w:p>
        </w:tc>
      </w:tr>
      <w:tr w:rsidTr="00991EB1">
        <w:tblPrEx>
          <w:tblW w:w="0" w:type="auto"/>
          <w:tblLayout w:type="fixed"/>
          <w:tblCellMar>
            <w:left w:w="62" w:type="dxa"/>
            <w:right w:w="62" w:type="dxa"/>
          </w:tblCellMar>
          <w:tblLook w:val="0000"/>
        </w:tblPrEx>
        <w:trPr>
          <w:trHeight w:val="428"/>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CPCCLBM3001</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 xml:space="preserve">Licence to operate a concrete placing boom </w:t>
            </w:r>
          </w:p>
        </w:tc>
      </w:tr>
      <w:tr w:rsidTr="00991EB1">
        <w:tblPrEx>
          <w:tblW w:w="0" w:type="auto"/>
          <w:tblLayout w:type="fixed"/>
          <w:tblCellMar>
            <w:left w:w="62" w:type="dxa"/>
            <w:right w:w="62" w:type="dxa"/>
          </w:tblCellMar>
          <w:tblLook w:val="0000"/>
        </w:tblPrEx>
        <w:trPr>
          <w:trHeight w:val="81"/>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CPCCSF2003*</w:t>
            </w:r>
          </w:p>
        </w:tc>
        <w:tc>
          <w:tcPr>
            <w:tcW w:w="6443"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Cut and bend materials using oxy-LPG equipment</w:t>
            </w:r>
          </w:p>
        </w:tc>
      </w:tr>
      <w:tr w:rsidTr="00991EB1">
        <w:tblPrEx>
          <w:tblW w:w="0" w:type="auto"/>
          <w:tblLayout w:type="fixed"/>
          <w:tblCellMar>
            <w:left w:w="62" w:type="dxa"/>
            <w:right w:w="62" w:type="dxa"/>
          </w:tblCellMar>
          <w:tblLook w:val="0000"/>
        </w:tblPrEx>
        <w:trPr>
          <w:trHeight w:val="384"/>
        </w:trPr>
        <w:tc>
          <w:tcPr>
            <w:tcW w:w="1894" w:type="dxa"/>
            <w:tcBorders>
              <w:top w:val="nil"/>
              <w:left w:val="nil"/>
              <w:bottom w:val="nil"/>
              <w:right w:val="nil"/>
            </w:tcBorders>
            <w:tcMar>
              <w:top w:w="0" w:type="dxa"/>
              <w:left w:w="62" w:type="dxa"/>
              <w:bottom w:w="0" w:type="dxa"/>
              <w:right w:w="62" w:type="dxa"/>
            </w:tcMar>
          </w:tcPr>
          <w:p w:rsidR="00000000" w:rsidP="00991EB1">
            <w:pPr>
              <w:pStyle w:val="BodyText"/>
              <w:rPr>
                <w:lang w:val="en-NZ"/>
              </w:rPr>
            </w:pPr>
            <w:r w:rsidRPr="00991EB1">
              <w:t>CPCCSF3001*</w:t>
            </w:r>
          </w:p>
        </w:tc>
        <w:tc>
          <w:tcPr>
            <w:tcW w:w="6443" w:type="dxa"/>
            <w:tcBorders>
              <w:top w:val="nil"/>
              <w:left w:val="nil"/>
              <w:bottom w:val="nil"/>
              <w:right w:val="nil"/>
            </w:tcBorders>
            <w:tcMar>
              <w:top w:w="0" w:type="dxa"/>
              <w:left w:w="62" w:type="dxa"/>
              <w:bottom w:w="0" w:type="dxa"/>
              <w:right w:w="62" w:type="dxa"/>
            </w:tcMar>
          </w:tcPr>
          <w:p w:rsidR="00000000" w:rsidRPr="00991EB1" w:rsidP="00991EB1">
            <w:pPr>
              <w:pStyle w:val="BodyText"/>
            </w:pPr>
            <w:r w:rsidRPr="00991EB1">
              <w:t>Apply reinforcement schedule</w:t>
            </w:r>
          </w:p>
        </w:tc>
      </w:tr>
    </w:tbl>
    <w:p w:rsidR="00000000" w:rsidRPr="00991EB1" w:rsidP="00991EB1">
      <w:pPr>
        <w:pStyle w:val="BodyText"/>
      </w:pPr>
    </w:p>
    <w:p w:rsidR="00000000" w:rsidRPr="00991EB1" w:rsidP="00991EB1">
      <w:pPr>
        <w:pStyle w:val="AllowPageBreak"/>
      </w:pPr>
    </w:p>
    <w:p w:rsidR="00000000" w:rsidRPr="00991EB1" w:rsidP="00991EB1">
      <w:pPr>
        <w:pStyle w:val="Heading1"/>
      </w:pPr>
      <w:bookmarkStart w:id="5" w:name="O_1014253"/>
      <w:bookmarkEnd w:id="5"/>
      <w:r w:rsidRPr="00991EB1">
        <w:t>Qualification Mapping Information</w:t>
      </w:r>
    </w:p>
    <w:tbl>
      <w:tblPr>
        <w:tblW w:w="0" w:type="auto"/>
        <w:tblLayout w:type="fixed"/>
        <w:tblCellMar>
          <w:left w:w="62" w:type="dxa"/>
          <w:right w:w="62" w:type="dxa"/>
        </w:tblCellMar>
        <w:tblLook w:val="0000"/>
      </w:tblPr>
      <w:tblGrid>
        <w:gridCol w:w="2156"/>
        <w:gridCol w:w="2409"/>
        <w:gridCol w:w="3026"/>
        <w:gridCol w:w="1365"/>
      </w:tblGrid>
      <w:tr w:rsidTr="00991EB1">
        <w:tblPrEx>
          <w:tblW w:w="0" w:type="auto"/>
          <w:tblLayout w:type="fixed"/>
          <w:tblCellMar>
            <w:left w:w="62" w:type="dxa"/>
            <w:right w:w="62" w:type="dxa"/>
          </w:tblCellMar>
          <w:tblLook w:val="0000"/>
        </w:tblPrEx>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EB1" w:rsidP="00991EB1">
            <w:pPr>
              <w:pStyle w:val="BodyText"/>
            </w:pPr>
            <w:r w:rsidRPr="00991EB1">
              <w:rPr>
                <w:rStyle w:val="SpecialBold"/>
              </w:rPr>
              <w:t>Code and Title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EB1" w:rsidP="00991EB1">
            <w:pPr>
              <w:pStyle w:val="BodyText"/>
            </w:pPr>
            <w:r w:rsidRPr="00991EB1">
              <w:rPr>
                <w:rStyle w:val="SpecialBold"/>
              </w:rPr>
              <w:t>CPC08 Construction, Plumbing and Services Training Package</w:t>
            </w:r>
          </w:p>
        </w:tc>
        <w:tc>
          <w:tcPr>
            <w:tcW w:w="3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EB1" w:rsidP="00991EB1">
            <w:pPr>
              <w:pStyle w:val="BodyText"/>
            </w:pPr>
            <w:r w:rsidRPr="00991EB1">
              <w:rPr>
                <w:rStyle w:val="SpecialBold"/>
              </w:rPr>
              <w:t>Comments</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EB1">
            <w:pPr>
              <w:pStyle w:val="BodyText"/>
              <w:rPr>
                <w:lang w:val="en-NZ"/>
              </w:rPr>
            </w:pPr>
            <w:r w:rsidRPr="00991EB1">
              <w:rPr>
                <w:rStyle w:val="SpecialBold"/>
              </w:rPr>
              <w:t>Equivalency statement</w:t>
            </w:r>
          </w:p>
        </w:tc>
      </w:tr>
      <w:tr w:rsidTr="00991EB1">
        <w:tblPrEx>
          <w:tblW w:w="0" w:type="auto"/>
          <w:tblLayout w:type="fixed"/>
          <w:tblCellMar>
            <w:left w:w="62" w:type="dxa"/>
            <w:right w:w="62" w:type="dxa"/>
          </w:tblCellMar>
          <w:tblLook w:val="0000"/>
        </w:tblPrEx>
        <w:trPr>
          <w:trHeight w:val="28"/>
        </w:trPr>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EB1">
            <w:pPr>
              <w:pStyle w:val="BodyText"/>
              <w:rPr>
                <w:lang w:val="en-NZ"/>
              </w:rPr>
            </w:pPr>
            <w:r w:rsidRPr="00991EB1">
              <w:t>CPC30318 Certificate III in Concreting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EB1">
            <w:pPr>
              <w:pStyle w:val="BodyText"/>
              <w:rPr>
                <w:lang w:val="en-NZ"/>
              </w:rPr>
            </w:pPr>
            <w:r w:rsidRPr="00991EB1">
              <w:t>CPC30313 Certificate III in Concreting</w:t>
            </w:r>
          </w:p>
        </w:tc>
        <w:tc>
          <w:tcPr>
            <w:tcW w:w="3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EB1">
            <w:pPr>
              <w:pStyle w:val="BodyText"/>
              <w:rPr>
                <w:lang w:val="en-NZ"/>
              </w:rPr>
            </w:pPr>
            <w:r w:rsidRPr="00991EB1">
              <w:t>Supersedes and replaces CPC30313 Certificate III in Concreting.</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EB1" w:rsidP="00991EB1">
            <w:pPr>
              <w:pStyle w:val="BodyText"/>
            </w:pPr>
            <w:r w:rsidRPr="00991EB1">
              <w:t>E</w:t>
            </w:r>
          </w:p>
        </w:tc>
      </w:tr>
    </w:tbl>
    <w:p w:rsidR="00000000" w:rsidRPr="00991EB1" w:rsidP="00991EB1">
      <w:pPr>
        <w:pStyle w:val="BodyText"/>
      </w:pPr>
    </w:p>
    <w:p w:rsidR="00000000" w:rsidRPr="00991EB1" w:rsidP="00991EB1">
      <w:pPr>
        <w:pStyle w:val="AllowPageBreak"/>
      </w:pPr>
    </w:p>
    <w:p w:rsidR="00000000" w:rsidRPr="00991EB1" w:rsidP="00991EB1">
      <w:pPr>
        <w:pStyle w:val="Heading1"/>
      </w:pPr>
      <w:bookmarkStart w:id="6" w:name="O_1014255"/>
      <w:bookmarkEnd w:id="6"/>
      <w:r w:rsidRPr="00991EB1">
        <w:t>Links</w:t>
      </w:r>
    </w:p>
    <w:p w:rsidR="00000000" w:rsidRPr="00991EB1" w:rsidP="009929AE">
      <w:pPr>
        <w:pStyle w:val="BodyText"/>
      </w:pPr>
      <w:r w:rsidRPr="00991EB1">
        <w:t xml:space="preserve">An Implementation Guide to this Training Package is available at - </w:t>
      </w:r>
      <w:r>
        <w:fldChar w:fldCharType="begin"/>
      </w:r>
      <w:r>
        <w:instrText xml:space="preserve"> HYPERLINK "https://vetnet.education.gov.au/Pages/TrainingDocs.aspx?q=7e15fa6a-68b8-4097-b099-030a5569b1ad" </w:instrText>
      </w:r>
      <w:r>
        <w:fldChar w:fldCharType="separate"/>
      </w:r>
      <w:r w:rsidRPr="008A2F7B">
        <w:rPr>
          <w:rStyle w:val="Hyperlink"/>
        </w:rPr>
        <w:t>https://vetnet.education.gov.au/Pages/TrainingDocs.aspx?q=7e15fa6a-68b8-4097-b099-030a5569b1ad</w:t>
      </w:r>
      <w:r>
        <w:fldChar w:fldCharType="end"/>
      </w:r>
      <w:r w:rsidRPr="00991EB1">
        <w:t>.</w:t>
      </w:r>
    </w:p>
    <w:p w:rsidR="00000000" w:rsidRPr="00991EB1" w:rsidP="00991EB1"/>
    <w:sectPr w:rsidSect="00991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EB1" w:rsidRPr="009929AE" w:rsidP="00992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E" w:rsidP="00991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929AE" w:rsidP="00991E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9929AE" w:rsidP="00991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EB1" w:rsidRPr="009929AE" w:rsidP="00992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E" w:rsidRPr="002D2AF8" w:rsidP="00991EB1">
    <w:pPr>
      <w:pStyle w:val="Header"/>
      <w:framePr w:wrap="around"/>
    </w:pPr>
    <w:r>
      <w:fldChar w:fldCharType="begin"/>
    </w:r>
    <w:r>
      <w:instrText xml:space="preserve"> TITLE   \* MERGEFORMAT </w:instrText>
    </w:r>
    <w:r>
      <w:fldChar w:fldCharType="separate"/>
    </w:r>
    <w:r>
      <w:t>CPC30318 Certificate III in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9929AE" w:rsidP="00991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AE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C8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89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EB1"/>
    <w:pPr>
      <w:spacing w:before="360" w:after="60"/>
      <w:outlineLvl w:val="0"/>
    </w:pPr>
    <w:rPr>
      <w:sz w:val="32"/>
    </w:rPr>
  </w:style>
  <w:style w:type="paragraph" w:styleId="Heading2">
    <w:name w:val="heading 2"/>
    <w:basedOn w:val="HeadingBase"/>
    <w:next w:val="BodyText"/>
    <w:link w:val="Heading2Char"/>
    <w:qFormat/>
    <w:rsid w:val="00991EB1"/>
    <w:pPr>
      <w:keepLines/>
      <w:spacing w:before="240" w:after="120"/>
      <w:outlineLvl w:val="1"/>
    </w:pPr>
    <w:rPr>
      <w:sz w:val="28"/>
      <w:szCs w:val="40"/>
    </w:rPr>
  </w:style>
  <w:style w:type="paragraph" w:styleId="Heading3">
    <w:name w:val="heading 3"/>
    <w:basedOn w:val="HeadingBase"/>
    <w:next w:val="BodyText"/>
    <w:link w:val="Heading3Char"/>
    <w:qFormat/>
    <w:rsid w:val="00991EB1"/>
    <w:pPr>
      <w:spacing w:before="180" w:after="120"/>
      <w:outlineLvl w:val="2"/>
    </w:pPr>
    <w:rPr>
      <w:spacing w:val="-10"/>
      <w:kern w:val="32"/>
    </w:rPr>
  </w:style>
  <w:style w:type="paragraph" w:styleId="Heading4">
    <w:name w:val="heading 4"/>
    <w:basedOn w:val="HeadingBase"/>
    <w:next w:val="BodyText"/>
    <w:link w:val="Heading4Char"/>
    <w:qFormat/>
    <w:rsid w:val="00991EB1"/>
    <w:pPr>
      <w:spacing w:before="160" w:after="120"/>
      <w:outlineLvl w:val="3"/>
    </w:pPr>
    <w:rPr>
      <w:sz w:val="22"/>
    </w:rPr>
  </w:style>
  <w:style w:type="paragraph" w:styleId="Heading5">
    <w:name w:val="heading 5"/>
    <w:basedOn w:val="HeadingBase"/>
    <w:next w:val="Normal"/>
    <w:link w:val="Heading5Char"/>
    <w:qFormat/>
    <w:rsid w:val="00991EB1"/>
    <w:pPr>
      <w:spacing w:before="80"/>
      <w:outlineLvl w:val="4"/>
    </w:pPr>
    <w:rPr>
      <w:color w:val="918585"/>
      <w:sz w:val="20"/>
    </w:rPr>
  </w:style>
  <w:style w:type="paragraph" w:styleId="Heading6">
    <w:name w:val="heading 6"/>
    <w:basedOn w:val="HeadingBase"/>
    <w:next w:val="Normal"/>
    <w:link w:val="Heading6Char"/>
    <w:qFormat/>
    <w:rsid w:val="00991EB1"/>
    <w:pPr>
      <w:spacing w:before="60"/>
      <w:outlineLvl w:val="5"/>
    </w:pPr>
    <w:rPr>
      <w:color w:val="918585"/>
      <w:sz w:val="20"/>
    </w:rPr>
  </w:style>
  <w:style w:type="paragraph" w:styleId="Heading7">
    <w:name w:val="heading 7"/>
    <w:basedOn w:val="Normal"/>
    <w:next w:val="Normal"/>
    <w:link w:val="Heading7Char"/>
    <w:qFormat/>
    <w:rsid w:val="00991EB1"/>
    <w:pPr>
      <w:ind w:left="720"/>
      <w:outlineLvl w:val="6"/>
    </w:pPr>
    <w:rPr>
      <w:i/>
    </w:rPr>
  </w:style>
  <w:style w:type="paragraph" w:styleId="Heading8">
    <w:name w:val="heading 8"/>
    <w:basedOn w:val="Normal"/>
    <w:next w:val="Normal"/>
    <w:link w:val="Heading8Char"/>
    <w:qFormat/>
    <w:rsid w:val="00991EB1"/>
    <w:pPr>
      <w:ind w:left="720"/>
      <w:outlineLvl w:val="7"/>
    </w:pPr>
    <w:rPr>
      <w:i/>
    </w:rPr>
  </w:style>
  <w:style w:type="paragraph" w:styleId="Heading9">
    <w:name w:val="heading 9"/>
    <w:basedOn w:val="Normal"/>
    <w:next w:val="Normal"/>
    <w:link w:val="Heading9Char"/>
    <w:qFormat/>
    <w:rsid w:val="00991EB1"/>
    <w:pPr>
      <w:ind w:left="720"/>
      <w:outlineLvl w:val="8"/>
    </w:pPr>
    <w:rPr>
      <w:i/>
    </w:rPr>
  </w:style>
  <w:style w:type="character" w:default="1" w:styleId="DefaultParagraphFont">
    <w:name w:val="Default Paragraph Font"/>
    <w:uiPriority w:val="1"/>
    <w:unhideWhenUsed/>
    <w:rsid w:val="00991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EB1"/>
  </w:style>
  <w:style w:type="character" w:customStyle="1" w:styleId="Heading1Char">
    <w:name w:val="Heading 1 Char"/>
    <w:basedOn w:val="DefaultParagraphFont"/>
    <w:link w:val="Heading1"/>
    <w:rsid w:val="00991EB1"/>
    <w:rPr>
      <w:rFonts w:ascii="Times New Roman" w:eastAsia="Times New Roman" w:hAnsi="Times New Roman" w:cs="Times New Roman"/>
      <w:b/>
      <w:sz w:val="32"/>
      <w:szCs w:val="20"/>
      <w:lang w:eastAsia="en-US"/>
    </w:rPr>
  </w:style>
  <w:style w:type="paragraph" w:styleId="BodyText">
    <w:name w:val="Body Text"/>
    <w:basedOn w:val="Normal"/>
    <w:link w:val="BodyTextChar"/>
    <w:rsid w:val="00991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EB1"/>
    <w:rPr>
      <w:rFonts w:ascii="Times New Roman" w:eastAsia="Times New Roman" w:hAnsi="Times New Roman" w:cs="Times New Roman"/>
      <w:sz w:val="24"/>
      <w:lang w:eastAsia="en-US"/>
    </w:rPr>
  </w:style>
  <w:style w:type="paragraph" w:styleId="ListBullet">
    <w:name w:val="List Bullet"/>
    <w:basedOn w:val="List"/>
    <w:rsid w:val="00991EB1"/>
    <w:pPr>
      <w:numPr>
        <w:numId w:val="13"/>
      </w:numPr>
      <w:tabs>
        <w:tab w:val="clear" w:pos="340"/>
      </w:tabs>
      <w:spacing w:before="40" w:after="40"/>
    </w:pPr>
  </w:style>
  <w:style w:type="character" w:customStyle="1" w:styleId="SpecialBold">
    <w:name w:val="Special Bold"/>
    <w:basedOn w:val="DefaultParagraphFont"/>
    <w:rsid w:val="00991EB1"/>
    <w:rPr>
      <w:b/>
      <w:spacing w:val="0"/>
    </w:rPr>
  </w:style>
  <w:style w:type="paragraph" w:styleId="ListBullet2">
    <w:name w:val="List Bullet 2"/>
    <w:basedOn w:val="List2"/>
    <w:rsid w:val="00991EB1"/>
    <w:pPr>
      <w:numPr>
        <w:numId w:val="14"/>
      </w:numPr>
      <w:tabs>
        <w:tab w:val="clear" w:pos="680"/>
      </w:tabs>
    </w:pPr>
  </w:style>
  <w:style w:type="paragraph" w:customStyle="1" w:styleId="SuperHeading">
    <w:name w:val="SuperHeading"/>
    <w:basedOn w:val="Normal"/>
    <w:rsid w:val="00991EB1"/>
    <w:pPr>
      <w:spacing w:before="240" w:after="120"/>
      <w:outlineLvl w:val="0"/>
    </w:pPr>
    <w:rPr>
      <w:rFonts w:ascii="Times New Roman" w:hAnsi="Times New Roman"/>
      <w:b/>
      <w:sz w:val="32"/>
    </w:rPr>
  </w:style>
  <w:style w:type="paragraph" w:customStyle="1" w:styleId="AllowPageBreak">
    <w:name w:val="AllowPageBreak"/>
    <w:rsid w:val="00991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EB1"/>
    <w:rPr>
      <w:rFonts w:ascii="Courier New" w:eastAsia="Times New Roman" w:hAnsi="Courier New" w:cs="Times New Roman"/>
      <w:i/>
      <w:szCs w:val="20"/>
      <w:lang w:eastAsia="en-US"/>
    </w:rPr>
  </w:style>
  <w:style w:type="paragraph" w:customStyle="1" w:styleId="HeadingBase">
    <w:name w:val="Heading Base"/>
    <w:rsid w:val="00991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EB1"/>
    <w:pPr>
      <w:tabs>
        <w:tab w:val="right" w:leader="dot" w:pos="9072"/>
      </w:tabs>
      <w:ind w:left="567"/>
    </w:pPr>
    <w:rPr>
      <w:szCs w:val="22"/>
    </w:rPr>
  </w:style>
  <w:style w:type="paragraph" w:customStyle="1" w:styleId="TOCBase">
    <w:name w:val="TOC Base"/>
    <w:rsid w:val="00991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EB1"/>
    <w:pPr>
      <w:tabs>
        <w:tab w:val="right" w:leader="dot" w:pos="9072"/>
      </w:tabs>
      <w:spacing w:before="40" w:after="40"/>
      <w:ind w:left="284"/>
    </w:pPr>
    <w:rPr>
      <w:rFonts w:ascii="Times New Roman" w:hAnsi="Times New Roman"/>
    </w:rPr>
  </w:style>
  <w:style w:type="paragraph" w:styleId="TOC1">
    <w:name w:val="toc 1"/>
    <w:basedOn w:val="TOCBase"/>
    <w:next w:val="Normal"/>
    <w:rsid w:val="00991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EB1"/>
    <w:rPr>
      <w:rFonts w:ascii="Times New Roman" w:eastAsia="Times New Roman" w:hAnsi="Times New Roman" w:cs="Times New Roman"/>
      <w:sz w:val="16"/>
      <w:lang w:eastAsia="en-US"/>
    </w:rPr>
  </w:style>
  <w:style w:type="paragraph" w:styleId="Title">
    <w:name w:val="Title"/>
    <w:basedOn w:val="HeadingBase"/>
    <w:link w:val="TitleChar"/>
    <w:qFormat/>
    <w:rsid w:val="00991EB1"/>
    <w:pPr>
      <w:spacing w:before="5040"/>
      <w:jc w:val="center"/>
    </w:pPr>
    <w:rPr>
      <w:sz w:val="48"/>
      <w:szCs w:val="72"/>
      <w:lang w:val="en-US"/>
    </w:rPr>
  </w:style>
  <w:style w:type="character" w:customStyle="1" w:styleId="TitleChar">
    <w:name w:val="Title Char"/>
    <w:basedOn w:val="DefaultParagraphFont"/>
    <w:link w:val="Title"/>
    <w:rsid w:val="00991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EB1"/>
    <w:pPr>
      <w:tabs>
        <w:tab w:val="left" w:pos="3600"/>
        <w:tab w:val="left" w:pos="3958"/>
      </w:tabs>
    </w:pPr>
  </w:style>
  <w:style w:type="paragraph" w:styleId="List">
    <w:name w:val="List"/>
    <w:basedOn w:val="BodyText"/>
    <w:next w:val="BodyText"/>
    <w:rsid w:val="00991EB1"/>
    <w:pPr>
      <w:tabs>
        <w:tab w:val="left" w:pos="340"/>
      </w:tabs>
      <w:spacing w:before="60" w:after="60"/>
      <w:ind w:left="340" w:hanging="340"/>
    </w:pPr>
  </w:style>
  <w:style w:type="paragraph" w:customStyle="1" w:styleId="Note">
    <w:name w:val="Note"/>
    <w:basedOn w:val="BodyText"/>
    <w:rsid w:val="00991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EB1"/>
    <w:pPr>
      <w:framePr w:wrap="auto" w:hAnchor="text" w:y="6049"/>
    </w:pPr>
    <w:rPr>
      <w:color w:val="000000"/>
      <w:sz w:val="40"/>
    </w:rPr>
  </w:style>
  <w:style w:type="paragraph" w:customStyle="1" w:styleId="TOCTitle">
    <w:name w:val="TOCTitle"/>
    <w:basedOn w:val="Heading1"/>
    <w:rsid w:val="00991EB1"/>
    <w:pPr>
      <w:spacing w:after="240"/>
      <w:jc w:val="center"/>
      <w:outlineLvl w:val="9"/>
    </w:pPr>
    <w:rPr>
      <w:caps/>
    </w:rPr>
  </w:style>
  <w:style w:type="paragraph" w:customStyle="1" w:styleId="Version">
    <w:name w:val="Version"/>
    <w:rsid w:val="00991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EB1"/>
    <w:pPr>
      <w:keepNext w:val="0"/>
      <w:tabs>
        <w:tab w:val="right" w:pos="4176"/>
      </w:tabs>
      <w:ind w:left="198" w:hanging="198"/>
    </w:pPr>
    <w:rPr>
      <w:rFonts w:ascii="Garamond" w:hAnsi="Garamond"/>
    </w:rPr>
  </w:style>
  <w:style w:type="paragraph" w:styleId="IndexHeading">
    <w:name w:val="index heading"/>
    <w:basedOn w:val="Normal"/>
    <w:next w:val="Index1"/>
    <w:semiHidden/>
    <w:rsid w:val="00991EB1"/>
    <w:pPr>
      <w:spacing w:before="120" w:after="120"/>
    </w:pPr>
    <w:rPr>
      <w:rFonts w:ascii="Arial" w:hAnsi="Arial"/>
      <w:b/>
      <w:color w:val="918585"/>
      <w:sz w:val="24"/>
    </w:rPr>
  </w:style>
  <w:style w:type="paragraph" w:styleId="Header">
    <w:name w:val="header"/>
    <w:basedOn w:val="Normal"/>
    <w:link w:val="HeaderChar"/>
    <w:rsid w:val="00991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EB1"/>
    <w:rPr>
      <w:rFonts w:ascii="Times New Roman" w:eastAsia="Times New Roman" w:hAnsi="Times New Roman" w:cs="Times New Roman"/>
      <w:sz w:val="16"/>
      <w:szCs w:val="20"/>
      <w:lang w:val="en-GB" w:eastAsia="en-US"/>
    </w:rPr>
  </w:style>
  <w:style w:type="paragraph" w:customStyle="1" w:styleId="Chapter">
    <w:name w:val="Chapter"/>
    <w:basedOn w:val="Normal"/>
    <w:rsid w:val="00991EB1"/>
    <w:pPr>
      <w:spacing w:before="240"/>
    </w:pPr>
    <w:rPr>
      <w:rFonts w:ascii="Times New Roman" w:hAnsi="Times New Roman"/>
      <w:smallCaps/>
      <w:spacing w:val="80"/>
      <w:sz w:val="28"/>
    </w:rPr>
  </w:style>
  <w:style w:type="paragraph" w:customStyle="1" w:styleId="InChapter">
    <w:name w:val="InChapter"/>
    <w:basedOn w:val="Heading3"/>
    <w:rsid w:val="00991EB1"/>
    <w:pPr>
      <w:spacing w:after="240"/>
      <w:outlineLvl w:val="9"/>
    </w:pPr>
    <w:rPr>
      <w:noProof/>
    </w:rPr>
  </w:style>
  <w:style w:type="paragraph" w:styleId="Index2">
    <w:name w:val="index 2"/>
    <w:basedOn w:val="Normal"/>
    <w:next w:val="Normal"/>
    <w:semiHidden/>
    <w:rsid w:val="00991EB1"/>
    <w:pPr>
      <w:tabs>
        <w:tab w:val="right" w:pos="4176"/>
      </w:tabs>
      <w:ind w:left="568" w:hanging="284"/>
    </w:pPr>
    <w:rPr>
      <w:rFonts w:ascii="Garamond" w:hAnsi="Garamond"/>
    </w:rPr>
  </w:style>
  <w:style w:type="paragraph" w:customStyle="1" w:styleId="Byline">
    <w:name w:val="Byline"/>
    <w:rsid w:val="00991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EB1"/>
    <w:pPr>
      <w:tabs>
        <w:tab w:val="clear" w:pos="3600"/>
        <w:tab w:val="clear" w:pos="3958"/>
      </w:tabs>
      <w:jc w:val="right"/>
    </w:pPr>
  </w:style>
  <w:style w:type="character" w:styleId="Emphasis">
    <w:name w:val="Emphasis"/>
    <w:basedOn w:val="DefaultParagraphFont"/>
    <w:qFormat/>
    <w:rsid w:val="00991EB1"/>
    <w:rPr>
      <w:i/>
    </w:rPr>
  </w:style>
  <w:style w:type="paragraph" w:styleId="Caption">
    <w:name w:val="caption"/>
    <w:basedOn w:val="BodyText"/>
    <w:next w:val="Normal"/>
    <w:qFormat/>
    <w:rsid w:val="00991EB1"/>
    <w:pPr>
      <w:framePr w:w="2268" w:hSpace="181" w:vSpace="181" w:wrap="around" w:vAnchor="text" w:hAnchor="page" w:x="1135" w:y="285" w:anchorLock="1"/>
    </w:pPr>
    <w:rPr>
      <w:i/>
    </w:rPr>
  </w:style>
  <w:style w:type="paragraph" w:customStyle="1" w:styleId="MiniTOCTitle">
    <w:name w:val="MiniTOCTitle"/>
    <w:basedOn w:val="Heading4"/>
    <w:rsid w:val="00991EB1"/>
    <w:pPr>
      <w:spacing w:before="240"/>
      <w:outlineLvl w:val="9"/>
    </w:pPr>
    <w:rPr>
      <w:noProof/>
      <w:sz w:val="24"/>
    </w:rPr>
  </w:style>
  <w:style w:type="paragraph" w:customStyle="1" w:styleId="MiniTOCItem">
    <w:name w:val="MiniTOCItem"/>
    <w:basedOn w:val="ListBullet"/>
    <w:rsid w:val="00991EB1"/>
    <w:pPr>
      <w:numPr>
        <w:numId w:val="0"/>
      </w:numPr>
      <w:tabs>
        <w:tab w:val="right" w:leader="dot" w:pos="6521"/>
      </w:tabs>
      <w:spacing w:before="0" w:after="0"/>
    </w:pPr>
  </w:style>
  <w:style w:type="paragraph" w:customStyle="1" w:styleId="TOFTitle">
    <w:name w:val="TOFTitle"/>
    <w:basedOn w:val="TOCTitle"/>
    <w:rsid w:val="00991EB1"/>
  </w:style>
  <w:style w:type="paragraph" w:styleId="TableofFigures">
    <w:name w:val="table of figures"/>
    <w:basedOn w:val="Normal"/>
    <w:next w:val="Normal"/>
    <w:semiHidden/>
    <w:rsid w:val="00991EB1"/>
    <w:pPr>
      <w:tabs>
        <w:tab w:val="right" w:leader="dot" w:pos="9072"/>
      </w:tabs>
      <w:ind w:left="970" w:hanging="403"/>
    </w:pPr>
    <w:rPr>
      <w:rFonts w:ascii="Times New Roman" w:hAnsi="Times New Roman"/>
      <w:b/>
    </w:rPr>
  </w:style>
  <w:style w:type="paragraph" w:styleId="ListNumber">
    <w:name w:val="List Number"/>
    <w:basedOn w:val="List"/>
    <w:rsid w:val="00991EB1"/>
    <w:pPr>
      <w:numPr>
        <w:numId w:val="11"/>
      </w:numPr>
    </w:pPr>
  </w:style>
  <w:style w:type="character" w:customStyle="1" w:styleId="WingdingSymbols">
    <w:name w:val="Wingding Symbols"/>
    <w:rsid w:val="00991EB1"/>
    <w:rPr>
      <w:rFonts w:ascii="Wingdings" w:hAnsi="Wingdings"/>
    </w:rPr>
  </w:style>
  <w:style w:type="paragraph" w:customStyle="1" w:styleId="TableHeading">
    <w:name w:val="Table Heading"/>
    <w:basedOn w:val="HeadingBase"/>
    <w:rsid w:val="00991EB1"/>
    <w:pPr>
      <w:keepLines/>
      <w:pBdr>
        <w:bottom w:val="single" w:sz="6" w:space="1" w:color="918585"/>
      </w:pBdr>
      <w:spacing w:before="240"/>
    </w:pPr>
  </w:style>
  <w:style w:type="character" w:customStyle="1" w:styleId="HotSpot">
    <w:name w:val="HotSpot"/>
    <w:rsid w:val="00991EB1"/>
    <w:rPr>
      <w:color w:val="0033CC"/>
      <w:u w:val="none"/>
    </w:rPr>
  </w:style>
  <w:style w:type="paragraph" w:customStyle="1" w:styleId="BodyTextRight">
    <w:name w:val="Body Text Right"/>
    <w:basedOn w:val="BodyText"/>
    <w:rsid w:val="00991EB1"/>
    <w:pPr>
      <w:spacing w:before="0" w:after="0"/>
      <w:jc w:val="right"/>
    </w:pPr>
  </w:style>
  <w:style w:type="paragraph" w:styleId="Index3">
    <w:name w:val="index 3"/>
    <w:basedOn w:val="ListNumber2"/>
    <w:next w:val="Normal"/>
    <w:semiHidden/>
    <w:rsid w:val="00991EB1"/>
    <w:pPr>
      <w:numPr>
        <w:numId w:val="0"/>
      </w:numPr>
      <w:tabs>
        <w:tab w:val="right" w:leader="dot" w:pos="4176"/>
      </w:tabs>
    </w:pPr>
  </w:style>
  <w:style w:type="paragraph" w:styleId="ListNumber2">
    <w:name w:val="List Number 2"/>
    <w:basedOn w:val="List2"/>
    <w:rsid w:val="00991EB1"/>
    <w:pPr>
      <w:numPr>
        <w:numId w:val="10"/>
      </w:numPr>
      <w:tabs>
        <w:tab w:val="clear" w:pos="1060"/>
      </w:tabs>
    </w:pPr>
  </w:style>
  <w:style w:type="paragraph" w:customStyle="1" w:styleId="MarginNote">
    <w:name w:val="Margin Note"/>
    <w:basedOn w:val="BodyText"/>
    <w:rsid w:val="00991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EB1"/>
    <w:rPr>
      <w:sz w:val="32"/>
    </w:rPr>
  </w:style>
  <w:style w:type="paragraph" w:customStyle="1" w:styleId="HeadingProcedure">
    <w:name w:val="Heading Procedure"/>
    <w:basedOn w:val="HeadingBase"/>
    <w:next w:val="Normal"/>
    <w:rsid w:val="00991EB1"/>
    <w:pPr>
      <w:tabs>
        <w:tab w:val="left" w:pos="0"/>
      </w:tabs>
      <w:spacing w:before="120" w:after="60"/>
    </w:pPr>
    <w:rPr>
      <w:i/>
      <w:color w:val="918585"/>
      <w:sz w:val="22"/>
    </w:rPr>
  </w:style>
  <w:style w:type="paragraph" w:customStyle="1" w:styleId="TableBodyText">
    <w:name w:val="Table Body Text"/>
    <w:basedOn w:val="BodyText"/>
    <w:rsid w:val="00991EB1"/>
    <w:pPr>
      <w:spacing w:before="60" w:after="60"/>
    </w:pPr>
  </w:style>
  <w:style w:type="paragraph" w:styleId="ListContinue">
    <w:name w:val="List Continue"/>
    <w:basedOn w:val="List"/>
    <w:rsid w:val="00991EB1"/>
    <w:pPr>
      <w:ind w:firstLine="0"/>
    </w:pPr>
  </w:style>
  <w:style w:type="paragraph" w:customStyle="1" w:styleId="ListNote">
    <w:name w:val="List Note"/>
    <w:basedOn w:val="List"/>
    <w:rsid w:val="00991EB1"/>
    <w:pPr>
      <w:pBdr>
        <w:top w:val="single" w:sz="6" w:space="2" w:color="918585"/>
        <w:bottom w:val="single" w:sz="6" w:space="2" w:color="918585"/>
      </w:pBdr>
      <w:tabs>
        <w:tab w:val="left" w:pos="1021"/>
      </w:tabs>
      <w:ind w:firstLine="0"/>
    </w:pPr>
  </w:style>
  <w:style w:type="paragraph" w:customStyle="1" w:styleId="Warning">
    <w:name w:val="Warning"/>
    <w:basedOn w:val="BodyText"/>
    <w:rsid w:val="00991EB1"/>
    <w:pPr>
      <w:shd w:val="clear" w:color="auto" w:fill="D9D9D9"/>
      <w:tabs>
        <w:tab w:val="left" w:pos="992"/>
      </w:tabs>
      <w:ind w:left="119" w:right="119"/>
    </w:pPr>
    <w:rPr>
      <w:sz w:val="20"/>
    </w:rPr>
  </w:style>
  <w:style w:type="paragraph" w:customStyle="1" w:styleId="MarginIcons">
    <w:name w:val="Margin Icons"/>
    <w:basedOn w:val="BodyText"/>
    <w:rsid w:val="00991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EB1"/>
    <w:rPr>
      <w:rFonts w:ascii="Courier New" w:hAnsi="Courier New"/>
    </w:rPr>
  </w:style>
  <w:style w:type="paragraph" w:customStyle="1" w:styleId="NoteBullet">
    <w:name w:val="Note Bullet"/>
    <w:basedOn w:val="Note"/>
    <w:rsid w:val="00991EB1"/>
    <w:pPr>
      <w:tabs>
        <w:tab w:val="clear" w:pos="680"/>
      </w:tabs>
      <w:spacing w:before="60" w:after="60"/>
    </w:pPr>
  </w:style>
  <w:style w:type="paragraph" w:customStyle="1" w:styleId="SubHeading2">
    <w:name w:val="SubHeading2"/>
    <w:basedOn w:val="HeadingBase"/>
    <w:rsid w:val="00991EB1"/>
    <w:pPr>
      <w:spacing w:before="240" w:after="60"/>
    </w:pPr>
    <w:rPr>
      <w:sz w:val="20"/>
    </w:rPr>
  </w:style>
  <w:style w:type="paragraph" w:customStyle="1" w:styleId="SubHeading1">
    <w:name w:val="SubHeading1"/>
    <w:basedOn w:val="HeadingBase"/>
    <w:rsid w:val="00991EB1"/>
    <w:pPr>
      <w:spacing w:before="240" w:after="60"/>
    </w:pPr>
    <w:rPr>
      <w:color w:val="918585"/>
      <w:sz w:val="22"/>
    </w:rPr>
  </w:style>
  <w:style w:type="paragraph" w:customStyle="1" w:styleId="SideHeading">
    <w:name w:val="Side Heading"/>
    <w:basedOn w:val="HeadingBase"/>
    <w:rsid w:val="00991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EB1"/>
    <w:pPr>
      <w:numPr>
        <w:numId w:val="12"/>
      </w:numPr>
    </w:pPr>
  </w:style>
  <w:style w:type="paragraph" w:styleId="PlainText">
    <w:name w:val="Plain Text"/>
    <w:basedOn w:val="Normal"/>
    <w:link w:val="PlainTextChar"/>
    <w:rsid w:val="00991EB1"/>
    <w:rPr>
      <w:sz w:val="20"/>
    </w:rPr>
  </w:style>
  <w:style w:type="character" w:customStyle="1" w:styleId="PlainTextChar">
    <w:name w:val="Plain Text Char"/>
    <w:basedOn w:val="DefaultParagraphFont"/>
    <w:link w:val="PlainText"/>
    <w:rsid w:val="00991EB1"/>
    <w:rPr>
      <w:rFonts w:ascii="Courier New" w:eastAsia="Times New Roman" w:hAnsi="Courier New" w:cs="Times New Roman"/>
      <w:sz w:val="20"/>
      <w:szCs w:val="20"/>
      <w:lang w:eastAsia="en-US"/>
    </w:rPr>
  </w:style>
  <w:style w:type="character" w:customStyle="1" w:styleId="MenuOption">
    <w:name w:val="Menu Option"/>
    <w:basedOn w:val="DefaultParagraphFont"/>
    <w:rsid w:val="00991EB1"/>
    <w:rPr>
      <w:b/>
      <w:smallCaps/>
    </w:rPr>
  </w:style>
  <w:style w:type="paragraph" w:customStyle="1" w:styleId="TableListNumber">
    <w:name w:val="Table List Number"/>
    <w:basedOn w:val="ListNumber"/>
    <w:rsid w:val="00991EB1"/>
    <w:pPr>
      <w:numPr>
        <w:numId w:val="0"/>
      </w:numPr>
    </w:pPr>
  </w:style>
  <w:style w:type="paragraph" w:styleId="TOC4">
    <w:name w:val="toc 4"/>
    <w:basedOn w:val="TOCBase"/>
    <w:next w:val="Normal"/>
    <w:semiHidden/>
    <w:rsid w:val="00991EB1"/>
    <w:pPr>
      <w:tabs>
        <w:tab w:val="right" w:leader="dot" w:pos="9071"/>
      </w:tabs>
      <w:ind w:left="1701"/>
    </w:pPr>
  </w:style>
  <w:style w:type="paragraph" w:customStyle="1" w:styleId="ListAlpha">
    <w:name w:val="List Alpha"/>
    <w:basedOn w:val="List"/>
    <w:rsid w:val="00991EB1"/>
    <w:pPr>
      <w:numPr>
        <w:numId w:val="9"/>
      </w:numPr>
    </w:pPr>
  </w:style>
  <w:style w:type="paragraph" w:customStyle="1" w:styleId="ListAlpha2">
    <w:name w:val="List Alpha 2"/>
    <w:basedOn w:val="List2"/>
    <w:rsid w:val="00991EB1"/>
    <w:pPr>
      <w:numPr>
        <w:numId w:val="8"/>
      </w:numPr>
    </w:pPr>
  </w:style>
  <w:style w:type="paragraph" w:styleId="List2">
    <w:name w:val="List 2"/>
    <w:basedOn w:val="BodyText"/>
    <w:rsid w:val="00991EB1"/>
    <w:pPr>
      <w:tabs>
        <w:tab w:val="left" w:pos="680"/>
      </w:tabs>
      <w:spacing w:before="60" w:after="60"/>
      <w:ind w:left="680" w:hanging="340"/>
    </w:pPr>
  </w:style>
  <w:style w:type="paragraph" w:styleId="List3">
    <w:name w:val="List 3"/>
    <w:basedOn w:val="BodyText"/>
    <w:rsid w:val="00991EB1"/>
    <w:pPr>
      <w:tabs>
        <w:tab w:val="left" w:pos="1021"/>
      </w:tabs>
      <w:spacing w:before="60" w:after="60"/>
      <w:ind w:left="1020" w:hanging="340"/>
    </w:pPr>
  </w:style>
  <w:style w:type="paragraph" w:styleId="List4">
    <w:name w:val="List 4"/>
    <w:basedOn w:val="BodyText"/>
    <w:rsid w:val="00991EB1"/>
    <w:pPr>
      <w:tabs>
        <w:tab w:val="left" w:pos="1361"/>
      </w:tabs>
      <w:spacing w:before="60" w:after="60"/>
      <w:ind w:left="1361" w:hanging="340"/>
    </w:pPr>
  </w:style>
  <w:style w:type="paragraph" w:styleId="List5">
    <w:name w:val="List 5"/>
    <w:basedOn w:val="BodyText"/>
    <w:rsid w:val="00991EB1"/>
    <w:pPr>
      <w:tabs>
        <w:tab w:val="left" w:pos="1701"/>
      </w:tabs>
      <w:spacing w:before="60" w:after="60"/>
      <w:ind w:left="1701" w:hanging="340"/>
    </w:pPr>
  </w:style>
  <w:style w:type="paragraph" w:styleId="ListBullet3">
    <w:name w:val="List Bullet 3"/>
    <w:basedOn w:val="List3"/>
    <w:rsid w:val="00991EB1"/>
    <w:pPr>
      <w:numPr>
        <w:numId w:val="15"/>
      </w:numPr>
      <w:tabs>
        <w:tab w:val="clear" w:pos="1021"/>
      </w:tabs>
      <w:ind w:left="1037" w:hanging="357"/>
    </w:pPr>
  </w:style>
  <w:style w:type="paragraph" w:styleId="ListBullet4">
    <w:name w:val="List Bullet 4"/>
    <w:basedOn w:val="List4"/>
    <w:rsid w:val="00991EB1"/>
    <w:pPr>
      <w:numPr>
        <w:numId w:val="3"/>
      </w:numPr>
      <w:tabs>
        <w:tab w:val="clear" w:pos="1361"/>
      </w:tabs>
    </w:pPr>
  </w:style>
  <w:style w:type="paragraph" w:styleId="ListBullet5">
    <w:name w:val="List Bullet 5"/>
    <w:basedOn w:val="List5"/>
    <w:rsid w:val="00991EB1"/>
    <w:pPr>
      <w:numPr>
        <w:numId w:val="4"/>
      </w:numPr>
    </w:pPr>
  </w:style>
  <w:style w:type="paragraph" w:styleId="ListContinue2">
    <w:name w:val="List Continue 2"/>
    <w:basedOn w:val="List2"/>
    <w:rsid w:val="00991EB1"/>
    <w:pPr>
      <w:ind w:firstLine="0"/>
    </w:pPr>
  </w:style>
  <w:style w:type="paragraph" w:styleId="ListContinue3">
    <w:name w:val="List Continue 3"/>
    <w:basedOn w:val="List3"/>
    <w:rsid w:val="00991EB1"/>
    <w:pPr>
      <w:ind w:left="1021" w:firstLine="0"/>
    </w:pPr>
  </w:style>
  <w:style w:type="paragraph" w:styleId="ListContinue4">
    <w:name w:val="List Continue 4"/>
    <w:basedOn w:val="List4"/>
    <w:rsid w:val="00991EB1"/>
    <w:pPr>
      <w:ind w:firstLine="0"/>
    </w:pPr>
  </w:style>
  <w:style w:type="paragraph" w:styleId="ListContinue5">
    <w:name w:val="List Continue 5"/>
    <w:basedOn w:val="List5"/>
    <w:rsid w:val="00991EB1"/>
    <w:pPr>
      <w:ind w:firstLine="0"/>
    </w:pPr>
  </w:style>
  <w:style w:type="paragraph" w:styleId="ListNumber3">
    <w:name w:val="List Number 3"/>
    <w:basedOn w:val="List3"/>
    <w:rsid w:val="00991EB1"/>
    <w:pPr>
      <w:numPr>
        <w:numId w:val="5"/>
      </w:numPr>
    </w:pPr>
  </w:style>
  <w:style w:type="paragraph" w:styleId="ListNumber4">
    <w:name w:val="List Number 4"/>
    <w:basedOn w:val="List4"/>
    <w:rsid w:val="00991EB1"/>
    <w:pPr>
      <w:numPr>
        <w:numId w:val="6"/>
      </w:numPr>
    </w:pPr>
  </w:style>
  <w:style w:type="paragraph" w:styleId="ListNumber5">
    <w:name w:val="List Number 5"/>
    <w:basedOn w:val="List5"/>
    <w:rsid w:val="00991EB1"/>
    <w:pPr>
      <w:numPr>
        <w:numId w:val="7"/>
      </w:numPr>
    </w:pPr>
  </w:style>
  <w:style w:type="paragraph" w:styleId="BlockText">
    <w:name w:val="Block Text"/>
    <w:basedOn w:val="Normal"/>
    <w:rsid w:val="00991EB1"/>
    <w:pPr>
      <w:spacing w:after="120"/>
      <w:ind w:left="1440" w:right="1440"/>
    </w:pPr>
  </w:style>
  <w:style w:type="character" w:customStyle="1" w:styleId="Subscript">
    <w:name w:val="Subscript"/>
    <w:basedOn w:val="DefaultParagraphFont"/>
    <w:rsid w:val="00991EB1"/>
    <w:rPr>
      <w:sz w:val="16"/>
      <w:vertAlign w:val="subscript"/>
    </w:rPr>
  </w:style>
  <w:style w:type="character" w:customStyle="1" w:styleId="Superscript">
    <w:name w:val="Superscript"/>
    <w:basedOn w:val="DefaultParagraphFont"/>
    <w:rsid w:val="00991EB1"/>
    <w:rPr>
      <w:sz w:val="16"/>
      <w:vertAlign w:val="superscript"/>
    </w:rPr>
  </w:style>
  <w:style w:type="character" w:customStyle="1" w:styleId="Symbols">
    <w:name w:val="Symbols"/>
    <w:basedOn w:val="DefaultParagraphFont"/>
    <w:rsid w:val="00991EB1"/>
    <w:rPr>
      <w:rFonts w:ascii="Symbol" w:hAnsi="Symbol"/>
    </w:rPr>
  </w:style>
  <w:style w:type="character" w:customStyle="1" w:styleId="MenuOptions">
    <w:name w:val="Menu Options"/>
    <w:basedOn w:val="DefaultParagraphFont"/>
    <w:rsid w:val="00991EB1"/>
    <w:rPr>
      <w:rFonts w:ascii="Arial Narrow" w:hAnsi="Arial Narrow"/>
      <w:smallCaps/>
    </w:rPr>
  </w:style>
  <w:style w:type="character" w:customStyle="1" w:styleId="Buttons">
    <w:name w:val="Buttons"/>
    <w:basedOn w:val="DefaultParagraphFont"/>
    <w:rsid w:val="00991EB1"/>
    <w:rPr>
      <w:b/>
    </w:rPr>
  </w:style>
  <w:style w:type="character" w:customStyle="1" w:styleId="Underlined">
    <w:name w:val="Underlined"/>
    <w:basedOn w:val="DefaultParagraphFont"/>
    <w:rsid w:val="00991EB1"/>
    <w:rPr>
      <w:u w:val="single"/>
    </w:rPr>
  </w:style>
  <w:style w:type="paragraph" w:customStyle="1" w:styleId="TableBodyTextRight">
    <w:name w:val="Table Body Text Right"/>
    <w:basedOn w:val="TableBodyText"/>
    <w:rsid w:val="00991EB1"/>
    <w:pPr>
      <w:widowControl w:val="0"/>
      <w:autoSpaceDE w:val="0"/>
      <w:autoSpaceDN w:val="0"/>
      <w:adjustRightInd w:val="0"/>
      <w:jc w:val="right"/>
    </w:pPr>
    <w:rPr>
      <w:rFonts w:cs="Arial"/>
      <w:szCs w:val="18"/>
    </w:rPr>
  </w:style>
  <w:style w:type="paragraph" w:customStyle="1" w:styleId="CopyrightText">
    <w:name w:val="Copyright Text"/>
    <w:basedOn w:val="BodyText"/>
    <w:rsid w:val="00991EB1"/>
    <w:rPr>
      <w:sz w:val="18"/>
    </w:rPr>
  </w:style>
  <w:style w:type="paragraph" w:customStyle="1" w:styleId="BodySmallRight">
    <w:name w:val="Body Small Right"/>
    <w:basedOn w:val="BodyTextRight"/>
    <w:rsid w:val="00991EB1"/>
    <w:rPr>
      <w:sz w:val="18"/>
      <w:szCs w:val="18"/>
    </w:rPr>
  </w:style>
  <w:style w:type="paragraph" w:customStyle="1" w:styleId="MarginEdition">
    <w:name w:val="Margin Edition"/>
    <w:basedOn w:val="MarginNote"/>
    <w:rsid w:val="00991EB1"/>
    <w:pPr>
      <w:spacing w:before="0" w:after="0"/>
    </w:pPr>
    <w:rPr>
      <w:rFonts w:ascii="Times New Roman" w:hAnsi="Times New Roman"/>
      <w:color w:val="999999"/>
    </w:rPr>
  </w:style>
  <w:style w:type="paragraph" w:customStyle="1" w:styleId="Spacer">
    <w:name w:val="Spacer"/>
    <w:basedOn w:val="Normal"/>
    <w:rsid w:val="00991EB1"/>
    <w:rPr>
      <w:sz w:val="2"/>
      <w:szCs w:val="2"/>
    </w:rPr>
  </w:style>
  <w:style w:type="character" w:customStyle="1" w:styleId="Small">
    <w:name w:val="Small"/>
    <w:basedOn w:val="DefaultParagraphFont"/>
    <w:rsid w:val="00991EB1"/>
    <w:rPr>
      <w:sz w:val="16"/>
    </w:rPr>
  </w:style>
  <w:style w:type="paragraph" w:customStyle="1" w:styleId="WideTable">
    <w:name w:val="Wide Table"/>
    <w:basedOn w:val="Normal"/>
    <w:rsid w:val="00991EB1"/>
    <w:pPr>
      <w:ind w:left="-1418"/>
    </w:pPr>
    <w:rPr>
      <w:sz w:val="2"/>
      <w:szCs w:val="2"/>
    </w:rPr>
  </w:style>
  <w:style w:type="character" w:styleId="PageNumber">
    <w:name w:val="page number"/>
    <w:basedOn w:val="DefaultParagraphFont"/>
    <w:rsid w:val="00991EB1"/>
  </w:style>
  <w:style w:type="paragraph" w:styleId="Quote">
    <w:name w:val="Quote"/>
    <w:basedOn w:val="Heading1"/>
    <w:link w:val="QuoteChar"/>
    <w:qFormat/>
    <w:rsid w:val="00991EB1"/>
    <w:rPr>
      <w:b w:val="0"/>
      <w:sz w:val="72"/>
      <w:szCs w:val="72"/>
      <w:lang w:val="en-NZ"/>
    </w:rPr>
  </w:style>
  <w:style w:type="character" w:customStyle="1" w:styleId="QuoteChar">
    <w:name w:val="Quote Char"/>
    <w:basedOn w:val="DefaultParagraphFont"/>
    <w:link w:val="Quote"/>
    <w:rsid w:val="00991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EB1"/>
    <w:pPr>
      <w:pageBreakBefore/>
    </w:pPr>
  </w:style>
  <w:style w:type="paragraph" w:customStyle="1" w:styleId="Border">
    <w:name w:val="Border"/>
    <w:basedOn w:val="Normal"/>
    <w:qFormat/>
    <w:rsid w:val="00991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EB1"/>
    <w:rPr>
      <w:b/>
      <w:bCs/>
      <w:i/>
      <w:iCs/>
      <w:color w:val="auto"/>
    </w:rPr>
  </w:style>
  <w:style w:type="paragraph" w:styleId="IntenseQuote">
    <w:name w:val="Intense Quote"/>
    <w:basedOn w:val="Normal"/>
    <w:next w:val="Normal"/>
    <w:link w:val="IntenseQuoteChar"/>
    <w:uiPriority w:val="30"/>
    <w:qFormat/>
    <w:rsid w:val="00991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EB1"/>
    <w:rPr>
      <w:smallCaps/>
      <w:color w:val="auto"/>
      <w:u w:val="single"/>
    </w:rPr>
  </w:style>
  <w:style w:type="character" w:styleId="IntenseReference">
    <w:name w:val="Intense Reference"/>
    <w:basedOn w:val="DefaultParagraphFont"/>
    <w:uiPriority w:val="32"/>
    <w:qFormat/>
    <w:rsid w:val="00991EB1"/>
    <w:rPr>
      <w:b/>
      <w:bCs/>
      <w:smallCaps/>
      <w:color w:val="auto"/>
      <w:spacing w:val="5"/>
      <w:u w:val="single"/>
    </w:rPr>
  </w:style>
  <w:style w:type="paragraph" w:customStyle="1" w:styleId="2ColumnHeading">
    <w:name w:val="2Column Heading"/>
    <w:basedOn w:val="BodyText"/>
    <w:qFormat/>
    <w:rsid w:val="00991EB1"/>
    <w:pPr>
      <w:spacing w:after="60"/>
      <w:ind w:left="-2268"/>
    </w:pPr>
    <w:rPr>
      <w:b/>
    </w:rPr>
  </w:style>
  <w:style w:type="paragraph" w:customStyle="1" w:styleId="Heading1TOC">
    <w:name w:val="Heading1 TOC"/>
    <w:basedOn w:val="Normal"/>
    <w:qFormat/>
    <w:rsid w:val="00991EB1"/>
    <w:pPr>
      <w:spacing w:before="240" w:after="120"/>
    </w:pPr>
    <w:rPr>
      <w:rFonts w:ascii="Times New Roman" w:hAnsi="Times New Roman"/>
      <w:b/>
      <w:sz w:val="32"/>
    </w:rPr>
  </w:style>
  <w:style w:type="paragraph" w:customStyle="1" w:styleId="Heading2TOC">
    <w:name w:val="Heading2 TOC"/>
    <w:basedOn w:val="Normal"/>
    <w:qFormat/>
    <w:rsid w:val="00991EB1"/>
    <w:pPr>
      <w:spacing w:before="240" w:after="60"/>
    </w:pPr>
    <w:rPr>
      <w:rFonts w:ascii="Times New Roman" w:hAnsi="Times New Roman"/>
      <w:b/>
      <w:sz w:val="28"/>
    </w:rPr>
  </w:style>
  <w:style w:type="character" w:customStyle="1" w:styleId="Underline">
    <w:name w:val="Underline"/>
    <w:basedOn w:val="DefaultParagraphFont"/>
    <w:qFormat/>
    <w:rsid w:val="00991EB1"/>
    <w:rPr>
      <w:u w:val="single"/>
    </w:rPr>
  </w:style>
  <w:style w:type="character" w:customStyle="1" w:styleId="BoldandItalics">
    <w:name w:val="Bold and Italics"/>
    <w:qFormat/>
    <w:rsid w:val="00991EB1"/>
    <w:rPr>
      <w:b/>
      <w:i/>
      <w:u w:val="none"/>
    </w:rPr>
  </w:style>
  <w:style w:type="paragraph" w:styleId="BalloonText">
    <w:name w:val="Balloon Text"/>
    <w:basedOn w:val="Normal"/>
    <w:link w:val="BalloonTextChar"/>
    <w:rsid w:val="00991EB1"/>
    <w:rPr>
      <w:rFonts w:ascii="Tahoma" w:hAnsi="Tahoma" w:cs="Tahoma"/>
      <w:sz w:val="16"/>
      <w:szCs w:val="16"/>
    </w:rPr>
  </w:style>
  <w:style w:type="character" w:customStyle="1" w:styleId="BalloonTextChar">
    <w:name w:val="Balloon Text Char"/>
    <w:basedOn w:val="DefaultParagraphFont"/>
    <w:link w:val="BalloonText"/>
    <w:rsid w:val="00991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EB1"/>
    <w:rPr>
      <w:b/>
      <w:color w:val="660033"/>
      <w:spacing w:val="0"/>
    </w:rPr>
  </w:style>
  <w:style w:type="paragraph" w:customStyle="1" w:styleId="Nameditemlist">
    <w:name w:val="Named item list"/>
    <w:basedOn w:val="BodyText"/>
    <w:qFormat/>
    <w:rsid w:val="00991EB1"/>
    <w:pPr>
      <w:tabs>
        <w:tab w:val="left" w:pos="2835"/>
      </w:tabs>
      <w:ind w:left="2835" w:hanging="2835"/>
    </w:pPr>
  </w:style>
  <w:style w:type="paragraph" w:customStyle="1" w:styleId="BodyTextnopadding">
    <w:name w:val="Body Text no padding"/>
    <w:basedOn w:val="BodyText"/>
    <w:qFormat/>
    <w:rsid w:val="00991EB1"/>
    <w:pPr>
      <w:spacing w:before="0" w:after="0"/>
    </w:pPr>
  </w:style>
  <w:style w:type="character" w:styleId="Hyperlink">
    <w:name w:val="Hyperlink"/>
    <w:basedOn w:val="DefaultParagraphFont"/>
    <w:uiPriority w:val="99"/>
    <w:unhideWhenUsed/>
    <w:rsid w:val="00992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4544</Characters>
  <Application>Microsoft Office Word</Application>
  <DocSecurity>0</DocSecurity>
  <Lines>181</Lines>
  <Paragraphs>137</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CPC30318 Certificate III in Concreting</dc:title>
  <dc:subject>Approved</dc:subject>
  <dc:creator>Artibus Innovation</dc:creator>
  <cp:keywords>Release 1</cp:keywords>
  <dc:description>Review Date: 12 April 2008</dc:description>
  <cp:lastModifiedBy>HSD_TPCMSd.prod</cp:lastModifiedBy>
  <cp:revision>3</cp:revision>
  <dcterms:created xsi:type="dcterms:W3CDTF">2019-01-17T14:16:32Z</dcterms:created>
  <dcterms:modified xsi:type="dcterms:W3CDTF">2019-01-17T01:05:00Z</dcterms:modified>
</cp:coreProperties>
</file>