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42FB" w:rsidP="000742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CPC30216 Certificate III in Signs and Graphics</w:t>
      </w:r>
      <w:r>
        <w:fldChar w:fldCharType="end"/>
      </w:r>
    </w:p>
    <w:p w:rsidR="000742FB" w:rsidP="000742FB">
      <w:pPr>
        <w:pStyle w:val="Version"/>
        <w:sectPr w:rsidSect="007F2A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7F2ABC" w:rsidP="007F2ABC">
      <w:pPr>
        <w:pStyle w:val="SuperHeading"/>
      </w:pPr>
      <w:r w:rsidRPr="007F2ABC">
        <w:t>CPC30216 Certificate III in Signs and Graphics</w:t>
      </w:r>
    </w:p>
    <w:p w:rsidR="00000000" w:rsidRPr="007F2ABC" w:rsidP="007F2ABC">
      <w:pPr>
        <w:pStyle w:val="Heading1"/>
      </w:pPr>
      <w:bookmarkStart w:id="1" w:name="O_1186552"/>
      <w:bookmarkEnd w:id="1"/>
      <w:r w:rsidRPr="007F2A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F2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ABC" w:rsidP="007F2ABC">
            <w:pPr>
              <w:pStyle w:val="BodyText"/>
            </w:pPr>
            <w:r w:rsidRPr="007F2ABC">
              <w:t>This version first released with CPC Construction, Plumbing and Services Training Package Release 6.4.</w:t>
            </w:r>
          </w:p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 xml:space="preserve">Correction to Training Package title in the Modification History from CPP Property Services to CPC Construction, </w:t>
            </w:r>
            <w:r w:rsidRPr="007F2ABC">
              <w:t>Plumbing and Services Training Package in Release 2.</w:t>
            </w:r>
          </w:p>
        </w:tc>
      </w:tr>
      <w:tr w:rsidTr="007F2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ABC" w:rsidP="007F2ABC">
            <w:pPr>
              <w:pStyle w:val="BodyText"/>
            </w:pPr>
            <w:r w:rsidRPr="007F2ABC">
              <w:t>This version released with CPP Property Services Training Package Release 11.0.</w:t>
            </w:r>
          </w:p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Imported units updated to current releases.</w:t>
            </w:r>
          </w:p>
        </w:tc>
      </w:tr>
      <w:tr w:rsidTr="007F2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ABC" w:rsidP="007F2ABC">
            <w:pPr>
              <w:pStyle w:val="BodyText"/>
            </w:pPr>
            <w:r w:rsidRPr="007F2ABC">
              <w:t>This version first released with CPC Construction, Plumbi</w:t>
            </w:r>
            <w:r w:rsidRPr="007F2ABC">
              <w:t>ng and Services Training Package Version 2.</w:t>
            </w:r>
          </w:p>
          <w:p w:rsidR="00000000" w:rsidRPr="007F2ABC" w:rsidP="007F2ABC">
            <w:pPr>
              <w:pStyle w:val="BodyText"/>
            </w:pPr>
            <w:r w:rsidRPr="007F2ABC">
              <w:t>Revised qualification replacing superseded non-equivalent CPC32111 Certificate III in Signage.</w:t>
            </w:r>
          </w:p>
        </w:tc>
      </w:tr>
    </w:tbl>
    <w:p w:rsidR="00000000" w:rsidRPr="007F2ABC" w:rsidP="007F2ABC">
      <w:pPr>
        <w:pStyle w:val="BodyText"/>
      </w:pPr>
    </w:p>
    <w:p w:rsidR="00000000" w:rsidRPr="007F2ABC" w:rsidP="007F2ABC">
      <w:pPr>
        <w:pStyle w:val="AllowPageBreak"/>
      </w:pPr>
    </w:p>
    <w:p w:rsidR="00000000" w:rsidRPr="007F2ABC" w:rsidP="007F2ABC">
      <w:pPr>
        <w:pStyle w:val="Heading1"/>
      </w:pPr>
      <w:bookmarkStart w:id="2" w:name="O_1186551"/>
      <w:bookmarkEnd w:id="2"/>
      <w:r w:rsidRPr="007F2ABC">
        <w:t>Qualification Description</w:t>
      </w:r>
    </w:p>
    <w:p w:rsidR="00000000" w:rsidRPr="007F2ABC" w:rsidP="000742FB">
      <w:pPr>
        <w:pStyle w:val="BodyText"/>
      </w:pPr>
      <w:r w:rsidRPr="007F2ABC">
        <w:t xml:space="preserve">This qualification reflects the role of sign manufacturers who design </w:t>
      </w:r>
      <w:r w:rsidRPr="007F2ABC">
        <w:t>and produce signs and graphics for a range of purposes.</w:t>
      </w:r>
    </w:p>
    <w:p w:rsidR="00000000" w:rsidRPr="007F2ABC" w:rsidP="000742FB">
      <w:pPr>
        <w:pStyle w:val="BodyText"/>
      </w:pPr>
      <w:r w:rsidRPr="007F2ABC">
        <w:t>Signs and graphics can be produced using a range of traditional and contemporary techniques, often involving the use of advanced printing software and technology, and a range of methods for illuminati</w:t>
      </w:r>
      <w:r w:rsidRPr="007F2ABC">
        <w:t>on and fabrication.</w:t>
      </w:r>
    </w:p>
    <w:p w:rsidR="00000000" w:rsidRPr="007F2ABC" w:rsidP="000742FB">
      <w:pPr>
        <w:pStyle w:val="BodyText"/>
      </w:pPr>
      <w:r w:rsidRPr="007F2ABC">
        <w:t>No licensing, legislative, regulatory, or certification requirements apply to this qualification at the time of endorsement.</w:t>
      </w:r>
    </w:p>
    <w:p w:rsidR="00000000" w:rsidRPr="007F2ABC" w:rsidP="007F2ABC">
      <w:pPr>
        <w:pStyle w:val="Heading1"/>
      </w:pPr>
      <w:bookmarkStart w:id="3" w:name="O_1186550"/>
      <w:bookmarkEnd w:id="3"/>
      <w:r w:rsidRPr="007F2ABC">
        <w:t>Entry Requirements</w:t>
      </w:r>
    </w:p>
    <w:p w:rsidR="00000000" w:rsidRPr="007F2ABC" w:rsidP="000742FB">
      <w:pPr>
        <w:pStyle w:val="BodyText"/>
      </w:pPr>
      <w:r w:rsidRPr="007F2ABC">
        <w:t>There are no entry requirements for this qualification.</w:t>
      </w:r>
    </w:p>
    <w:p w:rsidR="00000000" w:rsidRPr="007F2ABC" w:rsidP="007F2ABC">
      <w:pPr>
        <w:pStyle w:val="Heading1"/>
      </w:pPr>
      <w:bookmarkStart w:id="4" w:name="O_1186549"/>
      <w:bookmarkEnd w:id="4"/>
      <w:r w:rsidRPr="007F2ABC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0"/>
        <w:gridCol w:w="6590"/>
      </w:tblGrid>
      <w:tr w:rsidTr="007F2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ABC" w:rsidP="007F2ABC">
            <w:pPr>
              <w:pStyle w:val="BodyText"/>
            </w:pPr>
            <w:r w:rsidRPr="007F2ABC">
              <w:t xml:space="preserve">To achieve this qualification, competency must be demonstrated in: </w:t>
            </w:r>
          </w:p>
          <w:p w:rsidR="00000000" w:rsidRPr="007F2ABC" w:rsidP="007F2ABC">
            <w:pPr>
              <w:pStyle w:val="ListBullet"/>
            </w:pPr>
            <w:r w:rsidRPr="007F2ABC">
              <w:t>16 units of competency:</w:t>
            </w:r>
          </w:p>
          <w:p w:rsidR="00000000" w:rsidRPr="007F2ABC" w:rsidP="007F2ABC">
            <w:pPr>
              <w:pStyle w:val="ListBullet2"/>
            </w:pPr>
            <w:r w:rsidRPr="007F2ABC">
              <w:t xml:space="preserve">7 core units </w:t>
            </w:r>
          </w:p>
          <w:p w:rsidR="00000000" w:rsidRPr="007F2ABC" w:rsidP="007F2ABC">
            <w:pPr>
              <w:pStyle w:val="ListBullet2"/>
            </w:pPr>
            <w:r w:rsidRPr="007F2ABC">
              <w:t>9 elective units.</w:t>
            </w:r>
          </w:p>
          <w:p w:rsidR="00000000" w:rsidRPr="007F2ABC" w:rsidP="007F2ABC">
            <w:pPr>
              <w:pStyle w:val="BodyText"/>
            </w:pPr>
          </w:p>
          <w:p w:rsidR="00000000" w:rsidRPr="007F2ABC" w:rsidP="007F2ABC">
            <w:pPr>
              <w:pStyle w:val="BodyText"/>
            </w:pPr>
            <w:r w:rsidRPr="007F2ABC">
              <w:t>The elective units must ensure the integrity of the AQF alignment and contribute to a valid, industry-suppo</w:t>
            </w:r>
            <w:r w:rsidRPr="007F2ABC">
              <w:t>rted vocational outcome and are to be chosen as follows:</w:t>
            </w:r>
          </w:p>
          <w:p w:rsidR="00000000" w:rsidRPr="007F2ABC" w:rsidP="007F2ABC">
            <w:pPr>
              <w:pStyle w:val="ListBullet"/>
            </w:pPr>
            <w:r w:rsidRPr="007F2ABC">
              <w:t>all 9 units may be chosen from the elective units listed below</w:t>
            </w:r>
          </w:p>
          <w:p w:rsidR="00000000" w:rsidP="007F2ABC">
            <w:pPr>
              <w:pStyle w:val="ListBullet"/>
              <w:rPr>
                <w:lang w:val="en-NZ"/>
              </w:rPr>
            </w:pPr>
            <w:r w:rsidRPr="007F2ABC">
              <w:t>up to 3 units may be chosen from other CPC Certificate III or Certificate IV qualifications, or another current Training Package or acc</w:t>
            </w:r>
            <w:r w:rsidRPr="007F2ABC">
              <w:t>redited course, provided they provided they do not duplicate the outcome of another unit chosen for the qualification.</w:t>
            </w:r>
          </w:p>
        </w:tc>
      </w:tr>
      <w:tr w:rsidTr="007F2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ABC" w:rsidP="007F2ABC">
            <w:pPr>
              <w:pStyle w:val="BodyText"/>
            </w:pPr>
          </w:p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rPr>
                <w:rStyle w:val="SpecialBold"/>
              </w:rPr>
              <w:t>Core units</w:t>
            </w:r>
          </w:p>
        </w:tc>
      </w:tr>
      <w:tr w:rsidTr="007F2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CPCCSG3001</w:t>
            </w: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Design and lay out digital signs for production</w:t>
            </w:r>
          </w:p>
        </w:tc>
      </w:tr>
      <w:tr w:rsidTr="007F2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CPCCSG3002</w:t>
            </w: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Produce and apply vinyl signs</w:t>
            </w:r>
          </w:p>
        </w:tc>
      </w:tr>
      <w:tr w:rsidTr="007F2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CPCCSG3003</w:t>
            </w: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Colour manage signs</w:t>
            </w:r>
          </w:p>
        </w:tc>
      </w:tr>
      <w:tr w:rsidTr="007F2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CPCCSG3004</w:t>
            </w: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Print digital signs</w:t>
            </w:r>
          </w:p>
        </w:tc>
      </w:tr>
      <w:tr w:rsidTr="007F2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CPCCSG3011</w:t>
            </w: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Install LED technology into signs</w:t>
            </w:r>
          </w:p>
        </w:tc>
      </w:tr>
      <w:tr w:rsidTr="007F2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CPCCSG3012</w:t>
            </w: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Fabricate signs</w:t>
            </w:r>
          </w:p>
        </w:tc>
      </w:tr>
      <w:tr w:rsidTr="007F2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CPCWHS3001</w:t>
            </w: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Identify construction work hazards and select risk control strategies</w:t>
            </w:r>
          </w:p>
        </w:tc>
      </w:tr>
      <w:tr w:rsidTr="007F2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ABC" w:rsidP="007F2ABC">
            <w:pPr>
              <w:pStyle w:val="BodyText"/>
            </w:pPr>
          </w:p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rPr>
                <w:rStyle w:val="SpecialBold"/>
              </w:rPr>
              <w:t>Elective units</w:t>
            </w:r>
          </w:p>
        </w:tc>
      </w:tr>
      <w:tr w:rsidTr="007F2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AURVTP109</w:t>
            </w: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Apply vehicle body film wrapping</w:t>
            </w:r>
          </w:p>
        </w:tc>
      </w:tr>
      <w:tr w:rsidTr="007F2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CPCCCM2006</w:t>
            </w: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Apply basic levelling procedures</w:t>
            </w:r>
          </w:p>
        </w:tc>
      </w:tr>
      <w:tr w:rsidTr="007F2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CPCCCM2010</w:t>
            </w: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Work safely on scaffolding higher than two metres</w:t>
            </w:r>
          </w:p>
        </w:tc>
      </w:tr>
      <w:tr w:rsidTr="007F2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CPCCCM3001</w:t>
            </w: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Operate elevated work platforms up to 11 meters</w:t>
            </w:r>
          </w:p>
        </w:tc>
      </w:tr>
      <w:tr w:rsidTr="007F2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CPCCCM3003</w:t>
            </w: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Work safely around electrical sources, services and assets</w:t>
            </w:r>
          </w:p>
        </w:tc>
      </w:tr>
      <w:tr w:rsidTr="007F2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CPCCCM3004</w:t>
            </w: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Identify and apply information in construction plans, drawings and specifications</w:t>
            </w:r>
          </w:p>
        </w:tc>
      </w:tr>
      <w:tr w:rsidTr="007F2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CPCCLSF2001</w:t>
            </w: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Licence to erect, alter and dismantle scaffolding basic level</w:t>
            </w:r>
          </w:p>
        </w:tc>
      </w:tr>
      <w:tr w:rsidTr="007F2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CPCCSG3005</w:t>
            </w: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Engrave signs</w:t>
            </w:r>
          </w:p>
        </w:tc>
      </w:tr>
      <w:tr w:rsidTr="007F2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CPCCSG3006</w:t>
            </w: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Apply gilding to signs</w:t>
            </w:r>
          </w:p>
        </w:tc>
      </w:tr>
      <w:tr w:rsidTr="007F2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CPCCSG3007</w:t>
            </w: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Paint lines and scrolls</w:t>
            </w:r>
          </w:p>
        </w:tc>
      </w:tr>
      <w:tr w:rsidTr="007F2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CPCCSG3008</w:t>
            </w: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Hand draw chalkboards and showcards</w:t>
            </w:r>
          </w:p>
        </w:tc>
      </w:tr>
      <w:tr w:rsidTr="007F2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CPCCSG3009</w:t>
            </w: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Screen-print signs</w:t>
            </w:r>
          </w:p>
        </w:tc>
      </w:tr>
      <w:tr w:rsidTr="007F2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CPCCSG3010</w:t>
            </w: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Hand render pictorials</w:t>
            </w:r>
          </w:p>
        </w:tc>
      </w:tr>
      <w:tr w:rsidTr="007F2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CPCCSG3013</w:t>
            </w: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Paint letters and decorative effects for signs</w:t>
            </w:r>
          </w:p>
        </w:tc>
      </w:tr>
      <w:tr w:rsidTr="007F2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CPCCSG3014</w:t>
            </w: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Manufacture gas-charged glass-formed illuminated signs</w:t>
            </w:r>
          </w:p>
        </w:tc>
      </w:tr>
      <w:tr w:rsidTr="007F2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CPCCSG3015</w:t>
            </w: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Produce airbrushed signs</w:t>
            </w:r>
          </w:p>
        </w:tc>
      </w:tr>
      <w:tr w:rsidTr="007F2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CPCCSG3016</w:t>
            </w: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Prepare surfaces for signs</w:t>
            </w:r>
          </w:p>
        </w:tc>
      </w:tr>
      <w:tr w:rsidTr="007F2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CPCCSG3017</w:t>
            </w: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Erect and install signs</w:t>
            </w:r>
          </w:p>
        </w:tc>
      </w:tr>
      <w:tr w:rsidTr="007F2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MEM05049</w:t>
            </w: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 xml:space="preserve">Perform routine gas tungsten arc welding </w:t>
            </w:r>
          </w:p>
        </w:tc>
      </w:tr>
      <w:tr w:rsidTr="007F2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MEM05050</w:t>
            </w: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Perform routine gas metal arc welding</w:t>
            </w:r>
          </w:p>
        </w:tc>
      </w:tr>
      <w:tr w:rsidTr="007F2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MSFFF2006</w:t>
            </w: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Apply surface coatings by spray gun</w:t>
            </w:r>
          </w:p>
        </w:tc>
      </w:tr>
      <w:tr w:rsidTr="007F2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ABC">
            <w:pPr>
              <w:pStyle w:val="BodyText"/>
              <w:rPr>
                <w:lang w:val="en-NZ"/>
              </w:rPr>
            </w:pPr>
            <w:r w:rsidRPr="007F2ABC">
              <w:t>MSFFM3022</w:t>
            </w: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F2ABC" w:rsidP="007F2ABC">
            <w:pPr>
              <w:pStyle w:val="BodyText"/>
            </w:pPr>
            <w:r w:rsidRPr="007F2ABC">
              <w:t>Set up, operate and maintain computer numerically controlled (CNC) machining and processing centres</w:t>
            </w:r>
          </w:p>
        </w:tc>
      </w:tr>
    </w:tbl>
    <w:p w:rsidR="00000000" w:rsidRPr="007F2ABC" w:rsidP="007F2ABC">
      <w:pPr>
        <w:pStyle w:val="BodyText"/>
      </w:pPr>
    </w:p>
    <w:p w:rsidR="00000000" w:rsidRPr="007F2ABC" w:rsidP="007F2ABC">
      <w:pPr>
        <w:pStyle w:val="AllowPageBreak"/>
      </w:pPr>
    </w:p>
    <w:p w:rsidR="00000000" w:rsidRPr="007F2ABC" w:rsidP="007F2ABC">
      <w:pPr>
        <w:pStyle w:val="Heading1"/>
      </w:pPr>
      <w:bookmarkStart w:id="5" w:name="O_1186548"/>
      <w:bookmarkEnd w:id="5"/>
      <w:r w:rsidRPr="007F2ABC">
        <w:t>Qualification Mapping Information</w:t>
      </w:r>
    </w:p>
    <w:p w:rsidR="00000000" w:rsidRPr="007F2ABC" w:rsidP="000742FB">
      <w:pPr>
        <w:pStyle w:val="BodyText"/>
      </w:pPr>
      <w:r w:rsidRPr="007F2ABC">
        <w:t xml:space="preserve">No equivalent qualification. </w:t>
      </w:r>
    </w:p>
    <w:p w:rsidR="00000000" w:rsidRPr="007F2ABC" w:rsidP="007F2ABC">
      <w:pPr>
        <w:pStyle w:val="Heading1"/>
      </w:pPr>
      <w:bookmarkStart w:id="6" w:name="O_1186553"/>
      <w:bookmarkEnd w:id="6"/>
      <w:r w:rsidRPr="007F2ABC">
        <w:t>Links</w:t>
      </w:r>
    </w:p>
    <w:p w:rsidR="00000000" w:rsidRPr="007F2ABC" w:rsidP="000742FB">
      <w:pPr>
        <w:pStyle w:val="BodyText"/>
      </w:pPr>
      <w:r w:rsidRPr="007F2A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1689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F2ABC" w:rsidP="007F2ABC"/>
    <w:sectPr w:rsidSect="007F2A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A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ABC" w:rsidRPr="000742FB" w:rsidP="000742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A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2FB" w:rsidP="007F2A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42FB" w:rsidP="007F2A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742FB" w:rsidP="007F2A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A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2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2ABC" w:rsidRPr="000742FB" w:rsidP="000742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A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2FB" w:rsidRPr="002D2AF8" w:rsidP="007F2A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CPC30216 Certificate III in Signs and Graphics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2021</w:t>
    </w:r>
    <w:r>
      <w:fldChar w:fldCharType="end"/>
    </w:r>
  </w:p>
  <w:p w:rsidR="000742FB" w:rsidP="007F2A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CE4D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04F4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C8EC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A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2A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2A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2A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2A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2A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2A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2A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2A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2A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2A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2ABC"/>
  </w:style>
  <w:style w:type="character" w:customStyle="1" w:styleId="Heading1Char">
    <w:name w:val="Heading 1 Char"/>
    <w:basedOn w:val="DefaultParagraphFont"/>
    <w:link w:val="Heading1"/>
    <w:rsid w:val="007F2A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2A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2A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2A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2ABC"/>
    <w:rPr>
      <w:b/>
      <w:spacing w:val="0"/>
    </w:rPr>
  </w:style>
  <w:style w:type="paragraph" w:styleId="ListBullet2">
    <w:name w:val="List Bullet 2"/>
    <w:basedOn w:val="List2"/>
    <w:rsid w:val="007F2A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2A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2A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2A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2A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2A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2A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2A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2A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2A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2A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2A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2A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2A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2A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2A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2A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2A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2A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2A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2A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2A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2A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2A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2A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2A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2A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2A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2A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2A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2A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2A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2A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2A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2A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2ABC"/>
    <w:rPr>
      <w:i/>
    </w:rPr>
  </w:style>
  <w:style w:type="paragraph" w:styleId="Caption">
    <w:name w:val="caption"/>
    <w:basedOn w:val="BodyText"/>
    <w:next w:val="Normal"/>
    <w:qFormat/>
    <w:rsid w:val="007F2A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2A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2A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2ABC"/>
  </w:style>
  <w:style w:type="paragraph" w:styleId="TableofFigures">
    <w:name w:val="table of figures"/>
    <w:basedOn w:val="Normal"/>
    <w:next w:val="Normal"/>
    <w:semiHidden/>
    <w:rsid w:val="007F2A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2A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2ABC"/>
    <w:rPr>
      <w:rFonts w:ascii="Wingdings" w:hAnsi="Wingdings"/>
    </w:rPr>
  </w:style>
  <w:style w:type="paragraph" w:customStyle="1" w:styleId="TableHeading">
    <w:name w:val="Table Heading"/>
    <w:basedOn w:val="HeadingBase"/>
    <w:rsid w:val="007F2A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2ABC"/>
    <w:rPr>
      <w:color w:val="0033CC"/>
      <w:u w:val="none"/>
    </w:rPr>
  </w:style>
  <w:style w:type="paragraph" w:customStyle="1" w:styleId="BodyTextRight">
    <w:name w:val="Body Text Right"/>
    <w:basedOn w:val="BodyText"/>
    <w:rsid w:val="007F2A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2A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2A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2A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2A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2A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2ABC"/>
    <w:rPr>
      <w:sz w:val="32"/>
    </w:rPr>
  </w:style>
  <w:style w:type="paragraph" w:customStyle="1" w:styleId="HeadingProcedure">
    <w:name w:val="Heading Procedure"/>
    <w:basedOn w:val="HeadingBase"/>
    <w:next w:val="Normal"/>
    <w:rsid w:val="007F2A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2ABC"/>
    <w:pPr>
      <w:spacing w:before="60" w:after="60"/>
    </w:pPr>
  </w:style>
  <w:style w:type="paragraph" w:styleId="ListContinue">
    <w:name w:val="List Continue"/>
    <w:basedOn w:val="List"/>
    <w:rsid w:val="007F2ABC"/>
    <w:pPr>
      <w:ind w:firstLine="0"/>
    </w:pPr>
  </w:style>
  <w:style w:type="paragraph" w:customStyle="1" w:styleId="ListNote">
    <w:name w:val="List Note"/>
    <w:basedOn w:val="List"/>
    <w:rsid w:val="007F2A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2A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2A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2ABC"/>
    <w:rPr>
      <w:rFonts w:ascii="Courier New" w:hAnsi="Courier New"/>
    </w:rPr>
  </w:style>
  <w:style w:type="paragraph" w:customStyle="1" w:styleId="NoteBullet">
    <w:name w:val="Note Bullet"/>
    <w:basedOn w:val="Note"/>
    <w:rsid w:val="007F2A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2A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2A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2A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2A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2A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2A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2ABC"/>
    <w:rPr>
      <w:b/>
      <w:smallCaps/>
    </w:rPr>
  </w:style>
  <w:style w:type="paragraph" w:customStyle="1" w:styleId="TableListNumber">
    <w:name w:val="Table List Number"/>
    <w:basedOn w:val="ListNumber"/>
    <w:rsid w:val="007F2A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2A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2ABC"/>
    <w:pPr>
      <w:numPr>
        <w:numId w:val="9"/>
      </w:numPr>
    </w:pPr>
  </w:style>
  <w:style w:type="paragraph" w:customStyle="1" w:styleId="ListAlpha2">
    <w:name w:val="List Alpha 2"/>
    <w:basedOn w:val="List2"/>
    <w:rsid w:val="007F2ABC"/>
    <w:pPr>
      <w:numPr>
        <w:numId w:val="8"/>
      </w:numPr>
    </w:pPr>
  </w:style>
  <w:style w:type="paragraph" w:styleId="List2">
    <w:name w:val="List 2"/>
    <w:basedOn w:val="BodyText"/>
    <w:rsid w:val="007F2A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2A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2A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2A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2A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2A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2ABC"/>
    <w:pPr>
      <w:numPr>
        <w:numId w:val="4"/>
      </w:numPr>
    </w:pPr>
  </w:style>
  <w:style w:type="paragraph" w:styleId="ListContinue2">
    <w:name w:val="List Continue 2"/>
    <w:basedOn w:val="List2"/>
    <w:rsid w:val="007F2ABC"/>
    <w:pPr>
      <w:ind w:firstLine="0"/>
    </w:pPr>
  </w:style>
  <w:style w:type="paragraph" w:styleId="ListContinue3">
    <w:name w:val="List Continue 3"/>
    <w:basedOn w:val="List3"/>
    <w:rsid w:val="007F2ABC"/>
    <w:pPr>
      <w:ind w:left="1021" w:firstLine="0"/>
    </w:pPr>
  </w:style>
  <w:style w:type="paragraph" w:styleId="ListContinue4">
    <w:name w:val="List Continue 4"/>
    <w:basedOn w:val="List4"/>
    <w:rsid w:val="007F2ABC"/>
    <w:pPr>
      <w:ind w:firstLine="0"/>
    </w:pPr>
  </w:style>
  <w:style w:type="paragraph" w:styleId="ListContinue5">
    <w:name w:val="List Continue 5"/>
    <w:basedOn w:val="List5"/>
    <w:rsid w:val="007F2ABC"/>
    <w:pPr>
      <w:ind w:firstLine="0"/>
    </w:pPr>
  </w:style>
  <w:style w:type="paragraph" w:styleId="ListNumber3">
    <w:name w:val="List Number 3"/>
    <w:basedOn w:val="List3"/>
    <w:rsid w:val="007F2ABC"/>
    <w:pPr>
      <w:numPr>
        <w:numId w:val="5"/>
      </w:numPr>
    </w:pPr>
  </w:style>
  <w:style w:type="paragraph" w:styleId="ListNumber4">
    <w:name w:val="List Number 4"/>
    <w:basedOn w:val="List4"/>
    <w:rsid w:val="007F2ABC"/>
    <w:pPr>
      <w:numPr>
        <w:numId w:val="6"/>
      </w:numPr>
    </w:pPr>
  </w:style>
  <w:style w:type="paragraph" w:styleId="ListNumber5">
    <w:name w:val="List Number 5"/>
    <w:basedOn w:val="List5"/>
    <w:rsid w:val="007F2ABC"/>
    <w:pPr>
      <w:numPr>
        <w:numId w:val="7"/>
      </w:numPr>
    </w:pPr>
  </w:style>
  <w:style w:type="paragraph" w:styleId="BlockText">
    <w:name w:val="Block Text"/>
    <w:basedOn w:val="Normal"/>
    <w:rsid w:val="007F2A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2A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2ABC"/>
    <w:rPr>
      <w:sz w:val="16"/>
      <w:vertAlign w:val="superscript"/>
    </w:rPr>
  </w:style>
  <w:style w:type="character" w:customStyle="1" w:styleId="Symbols">
    <w:name w:val="Symbols"/>
    <w:basedOn w:val="DefaultParagraphFont"/>
    <w:rsid w:val="007F2ABC"/>
    <w:rPr>
      <w:rFonts w:ascii="Symbol" w:hAnsi="Symbol"/>
    </w:rPr>
  </w:style>
  <w:style w:type="character" w:customStyle="1" w:styleId="MenuOptions">
    <w:name w:val="Menu Options"/>
    <w:basedOn w:val="DefaultParagraphFont"/>
    <w:rsid w:val="007F2A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2ABC"/>
    <w:rPr>
      <w:b/>
    </w:rPr>
  </w:style>
  <w:style w:type="character" w:customStyle="1" w:styleId="Underlined">
    <w:name w:val="Underlined"/>
    <w:basedOn w:val="DefaultParagraphFont"/>
    <w:rsid w:val="007F2ABC"/>
    <w:rPr>
      <w:u w:val="single"/>
    </w:rPr>
  </w:style>
  <w:style w:type="paragraph" w:customStyle="1" w:styleId="TableBodyTextRight">
    <w:name w:val="Table Body Text Right"/>
    <w:basedOn w:val="TableBodyText"/>
    <w:rsid w:val="007F2A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2ABC"/>
    <w:rPr>
      <w:sz w:val="18"/>
    </w:rPr>
  </w:style>
  <w:style w:type="paragraph" w:customStyle="1" w:styleId="BodySmallRight">
    <w:name w:val="Body Small Right"/>
    <w:basedOn w:val="BodyTextRight"/>
    <w:rsid w:val="007F2ABC"/>
    <w:rPr>
      <w:sz w:val="18"/>
      <w:szCs w:val="18"/>
    </w:rPr>
  </w:style>
  <w:style w:type="paragraph" w:customStyle="1" w:styleId="MarginEdition">
    <w:name w:val="Margin Edition"/>
    <w:basedOn w:val="MarginNote"/>
    <w:rsid w:val="007F2A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2ABC"/>
    <w:rPr>
      <w:sz w:val="2"/>
      <w:szCs w:val="2"/>
    </w:rPr>
  </w:style>
  <w:style w:type="character" w:customStyle="1" w:styleId="Small">
    <w:name w:val="Small"/>
    <w:basedOn w:val="DefaultParagraphFont"/>
    <w:rsid w:val="007F2ABC"/>
    <w:rPr>
      <w:sz w:val="16"/>
    </w:rPr>
  </w:style>
  <w:style w:type="paragraph" w:customStyle="1" w:styleId="WideTable">
    <w:name w:val="Wide Table"/>
    <w:basedOn w:val="Normal"/>
    <w:rsid w:val="007F2A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2ABC"/>
  </w:style>
  <w:style w:type="paragraph" w:styleId="Quote">
    <w:name w:val="Quote"/>
    <w:basedOn w:val="Heading1"/>
    <w:link w:val="QuoteChar"/>
    <w:qFormat/>
    <w:rsid w:val="007F2A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2A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2ABC"/>
    <w:pPr>
      <w:pageBreakBefore/>
    </w:pPr>
  </w:style>
  <w:style w:type="paragraph" w:customStyle="1" w:styleId="Border">
    <w:name w:val="Border"/>
    <w:basedOn w:val="Normal"/>
    <w:qFormat/>
    <w:rsid w:val="007F2A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2A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A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A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2A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2A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2A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2A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2A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2ABC"/>
    <w:rPr>
      <w:u w:val="single"/>
    </w:rPr>
  </w:style>
  <w:style w:type="character" w:customStyle="1" w:styleId="BoldandItalics">
    <w:name w:val="Bold and Italics"/>
    <w:qFormat/>
    <w:rsid w:val="007F2ABC"/>
    <w:rPr>
      <w:b/>
      <w:i/>
      <w:u w:val="none"/>
    </w:rPr>
  </w:style>
  <w:style w:type="paragraph" w:styleId="BalloonText">
    <w:name w:val="Balloon Text"/>
    <w:basedOn w:val="Normal"/>
    <w:link w:val="BalloonTextChar"/>
    <w:rsid w:val="007F2A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2A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2A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2A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2A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2A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2ABC"/>
    <w:pPr>
      <w:spacing w:before="0" w:after="0"/>
    </w:pPr>
  </w:style>
  <w:style w:type="paragraph" w:customStyle="1" w:styleId="BodyTextBold">
    <w:name w:val="Body Text Bold"/>
    <w:basedOn w:val="BodyText"/>
    <w:qFormat/>
    <w:rsid w:val="007F2ABC"/>
    <w:rPr>
      <w:b/>
    </w:rPr>
  </w:style>
  <w:style w:type="character" w:styleId="Hyperlink">
    <w:name w:val="Hyperlink"/>
    <w:basedOn w:val="DefaultParagraphFont"/>
    <w:uiPriority w:val="99"/>
    <w:unhideWhenUsed/>
    <w:rsid w:val="000742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3321</Characters>
  <Application>Microsoft Office Word</Application>
  <DocSecurity>0</DocSecurity>
  <Lines>127</Lines>
  <Paragraphs>109</Paragraphs>
  <ScaleCrop>false</ScaleCrop>
  <Company>Author-it Software Corporation Ltd.</Company>
  <LinksUpToDate>false</LinksUpToDate>
  <CharactersWithSpaces>3734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CPC30216 Certificate III in Signs and Graphics</dc:title>
  <dc:subject>Approved</dc:subject>
  <dc:creator>Artibus Innovation</dc:creator>
  <cp:keywords>Release 3</cp:keywords>
  <dc:description>Review Date: 12 April 2008</dc:description>
  <cp:lastModifiedBy>HSD_TPCMSd.prod</cp:lastModifiedBy>
  <cp:revision>3</cp:revision>
  <dcterms:created xsi:type="dcterms:W3CDTF">2021-06-22T20:41:43Z</dcterms:created>
  <dcterms:modified xsi:type="dcterms:W3CDTF">2021-06-22T04:41:00Z</dcterms:modified>
</cp:coreProperties>
</file>