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7EA2" w:rsidP="009F7EA2">
      <w:pPr>
        <w:pStyle w:val="Title"/>
      </w:pPr>
      <w:r>
        <w:fldChar w:fldCharType="begin"/>
      </w:r>
      <w:r>
        <w:instrText xml:space="preserve"> TITLE   \* MERGEFORMAT </w:instrText>
      </w:r>
      <w:r>
        <w:fldChar w:fldCharType="separate"/>
      </w:r>
      <w:r>
        <w:t>CHCYTH401B Engage respectfully with young people</w:t>
      </w:r>
      <w:r>
        <w:fldChar w:fldCharType="end"/>
      </w:r>
    </w:p>
    <w:p w:rsidR="009F7EA2" w:rsidP="009F7EA2">
      <w:pPr>
        <w:pStyle w:val="Version"/>
        <w:sectPr w:rsidSect="00CD09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09AB" w:rsidP="00CD09AB">
      <w:pPr>
        <w:pStyle w:val="SuperHeading"/>
      </w:pPr>
      <w:r w:rsidRPr="00CD09AB">
        <w:t>CHCYTH401B Engage respectfully with young people</w:t>
      </w:r>
    </w:p>
    <w:p w:rsidR="00000000" w:rsidRPr="00CD09AB" w:rsidP="00CD09AB">
      <w:pPr>
        <w:pStyle w:val="Heading1"/>
      </w:pPr>
      <w:bookmarkStart w:id="1" w:name="O_269385"/>
      <w:bookmarkEnd w:id="1"/>
      <w:r w:rsidRPr="00CD09AB">
        <w:t>Modification History</w:t>
      </w:r>
    </w:p>
    <w:p w:rsidR="00000000" w:rsidRPr="00CD09AB" w:rsidP="00CD09AB">
      <w:pPr>
        <w:pStyle w:val="BodyText"/>
      </w:pPr>
      <w:r w:rsidRPr="00CD09AB">
        <w:t>Not Applicable</w:t>
      </w:r>
    </w:p>
    <w:p w:rsidR="00000000" w:rsidRPr="00CD09AB" w:rsidP="00CD09AB">
      <w:pPr>
        <w:pStyle w:val="AllowPageBreak"/>
      </w:pPr>
    </w:p>
    <w:p w:rsidR="00000000" w:rsidRPr="00CD09AB" w:rsidP="00CD09AB">
      <w:pPr>
        <w:pStyle w:val="Heading1"/>
      </w:pPr>
      <w:bookmarkStart w:id="2" w:name="O_196606"/>
      <w:bookmarkEnd w:id="2"/>
      <w:r w:rsidRPr="00CD09AB">
        <w:t>Unit Descriptor</w:t>
      </w:r>
    </w:p>
    <w:tbl>
      <w:tblPr>
        <w:tblW w:w="0" w:type="auto"/>
        <w:tblLayout w:type="fixed"/>
        <w:tblCellMar>
          <w:left w:w="62" w:type="dxa"/>
          <w:right w:w="62" w:type="dxa"/>
        </w:tblCellMar>
        <w:tblLook w:val="0000"/>
      </w:tblPr>
      <w:tblGrid>
        <w:gridCol w:w="3338"/>
        <w:gridCol w:w="5218"/>
      </w:tblGrid>
      <w:tr w:rsidTr="009F7EA2">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CD09AB">
            <w:pPr>
              <w:pStyle w:val="BodyText"/>
              <w:rPr>
                <w:lang w:val="en-NZ"/>
              </w:rPr>
            </w:pPr>
            <w:r w:rsidRPr="00CD09AB">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CD09AB" w:rsidP="00CD09AB">
            <w:pPr>
              <w:pStyle w:val="BodyText"/>
            </w:pPr>
            <w:r w:rsidRPr="00CD09AB">
              <w:t>This unit describes the knowledge and skills required to communicate effectively with young p</w:t>
            </w:r>
            <w:r w:rsidRPr="00CD09AB">
              <w:t>eople (aged 12-25) in work roles with a specific focus on young people</w:t>
            </w:r>
          </w:p>
        </w:tc>
      </w:tr>
    </w:tbl>
    <w:p w:rsidR="009F7EA2" w:rsidP="00CD09AB">
      <w:pPr>
        <w:pStyle w:val="BodyText"/>
      </w:pPr>
    </w:p>
    <w:p w:rsidR="009F7EA2" w:rsidP="00CD09AB">
      <w:pPr>
        <w:pStyle w:val="BodyText"/>
      </w:pPr>
    </w:p>
    <w:p w:rsidR="00000000" w:rsidRPr="00CD09AB" w:rsidP="00CD09AB">
      <w:pPr>
        <w:pStyle w:val="Heading1"/>
      </w:pPr>
      <w:bookmarkStart w:id="3" w:name="O_196608"/>
      <w:bookmarkEnd w:id="3"/>
      <w:r w:rsidRPr="00CD09AB">
        <w:t>Application of the Unit</w:t>
      </w:r>
    </w:p>
    <w:tbl>
      <w:tblPr>
        <w:tblW w:w="0" w:type="auto"/>
        <w:tblLayout w:type="fixed"/>
        <w:tblCellMar>
          <w:left w:w="62" w:type="dxa"/>
          <w:right w:w="62" w:type="dxa"/>
        </w:tblCellMar>
        <w:tblLook w:val="0000"/>
      </w:tblPr>
      <w:tblGrid>
        <w:gridCol w:w="3349"/>
        <w:gridCol w:w="5207"/>
      </w:tblGrid>
      <w:tr w:rsidTr="009F7EA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CD09AB">
            <w:pPr>
              <w:pStyle w:val="BodyText"/>
              <w:rPr>
                <w:lang w:val="en-NZ"/>
              </w:rPr>
            </w:pPr>
            <w:r w:rsidRPr="00CD09AB">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CD09AB" w:rsidP="00CD09AB">
            <w:pPr>
              <w:pStyle w:val="BodyText"/>
            </w:pPr>
            <w:r w:rsidRPr="00CD09AB">
              <w:t>This unit applies to work undertaken in work roles where the young person is the primary client</w:t>
            </w:r>
          </w:p>
        </w:tc>
      </w:tr>
    </w:tbl>
    <w:p w:rsidR="009F7EA2" w:rsidP="00CD09AB">
      <w:pPr>
        <w:pStyle w:val="BodyText"/>
      </w:pPr>
    </w:p>
    <w:p w:rsidR="009F7EA2" w:rsidP="00CD09AB">
      <w:pPr>
        <w:pStyle w:val="BodyText"/>
      </w:pPr>
    </w:p>
    <w:p w:rsidR="00000000" w:rsidRPr="00CD09AB" w:rsidP="00CD09AB">
      <w:pPr>
        <w:pStyle w:val="Heading1"/>
      </w:pPr>
      <w:bookmarkStart w:id="4" w:name="O_277645"/>
      <w:bookmarkEnd w:id="4"/>
      <w:r w:rsidRPr="00CD09AB">
        <w:t>Licensing/Regulatory Information</w:t>
      </w:r>
    </w:p>
    <w:p w:rsidR="00000000" w:rsidRPr="00CD09AB" w:rsidP="00CD09AB">
      <w:pPr>
        <w:pStyle w:val="BodyText"/>
      </w:pPr>
      <w:r w:rsidRPr="00CD09AB">
        <w:t>Not Applicable</w:t>
      </w:r>
    </w:p>
    <w:p w:rsidR="00000000" w:rsidRPr="00CD09AB" w:rsidP="00CD09AB">
      <w:pPr>
        <w:pStyle w:val="AllowPageBreak"/>
      </w:pPr>
    </w:p>
    <w:p w:rsidR="00000000" w:rsidRPr="00CD09AB" w:rsidP="00CD09AB">
      <w:pPr>
        <w:pStyle w:val="Heading1"/>
      </w:pPr>
      <w:bookmarkStart w:id="5" w:name="O_283479"/>
      <w:bookmarkEnd w:id="5"/>
      <w:r w:rsidRPr="00CD09AB">
        <w:t>Pre-Requisites</w:t>
      </w:r>
    </w:p>
    <w:p w:rsidR="00000000" w:rsidRPr="00CD09AB" w:rsidP="00CD09AB">
      <w:pPr>
        <w:pStyle w:val="BodyText"/>
      </w:pPr>
      <w:r w:rsidRPr="00CD09AB">
        <w:t>Not Applicable</w:t>
      </w:r>
    </w:p>
    <w:p w:rsidR="00000000" w:rsidRPr="00CD09AB" w:rsidP="00CD09AB">
      <w:pPr>
        <w:pStyle w:val="AllowPageBreak"/>
      </w:pPr>
    </w:p>
    <w:p w:rsidR="00000000" w:rsidRPr="00CD09AB" w:rsidP="00CD09AB">
      <w:pPr>
        <w:pStyle w:val="Heading1"/>
      </w:pPr>
      <w:bookmarkStart w:id="6" w:name="O_196607"/>
      <w:bookmarkEnd w:id="6"/>
      <w:r w:rsidRPr="00CD09AB">
        <w:t>Employability Skills Information</w:t>
      </w:r>
    </w:p>
    <w:tbl>
      <w:tblPr>
        <w:tblW w:w="0" w:type="auto"/>
        <w:tblLayout w:type="fixed"/>
        <w:tblCellMar>
          <w:left w:w="62" w:type="dxa"/>
          <w:right w:w="62" w:type="dxa"/>
        </w:tblCellMar>
        <w:tblLook w:val="0000"/>
      </w:tblPr>
      <w:tblGrid>
        <w:gridCol w:w="3320"/>
        <w:gridCol w:w="5236"/>
      </w:tblGrid>
      <w:tr w:rsidTr="009F7EA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D09AB">
            <w:pPr>
              <w:pStyle w:val="BodyText"/>
              <w:rPr>
                <w:lang w:val="en-NZ"/>
              </w:rPr>
            </w:pPr>
            <w:r w:rsidRPr="00CD09A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D09AB" w:rsidP="00CD09AB">
            <w:pPr>
              <w:pStyle w:val="BodyText"/>
            </w:pPr>
            <w:r w:rsidRPr="00CD09AB">
              <w:t>This unit contains Employability Skills</w:t>
            </w:r>
          </w:p>
        </w:tc>
      </w:tr>
    </w:tbl>
    <w:p w:rsidR="009F7EA2" w:rsidP="00CD09AB">
      <w:pPr>
        <w:pStyle w:val="BodyText"/>
      </w:pPr>
    </w:p>
    <w:p w:rsidR="009F7EA2" w:rsidP="00CD09AB">
      <w:pPr>
        <w:pStyle w:val="BodyText"/>
      </w:pPr>
    </w:p>
    <w:p w:rsidR="00000000" w:rsidRPr="00CD09AB" w:rsidP="00CD09AB">
      <w:pPr>
        <w:pStyle w:val="Heading1"/>
      </w:pPr>
      <w:bookmarkStart w:id="7" w:name="O_287431"/>
      <w:bookmarkEnd w:id="7"/>
      <w:r w:rsidRPr="00CD09AB">
        <w:t>Elements and Performance Criteria Pre-Content</w:t>
      </w:r>
    </w:p>
    <w:tbl>
      <w:tblPr>
        <w:tblW w:w="0" w:type="auto"/>
        <w:tblLayout w:type="fixed"/>
        <w:tblCellMar>
          <w:left w:w="62" w:type="dxa"/>
          <w:right w:w="62" w:type="dxa"/>
        </w:tblCellMar>
        <w:tblLook w:val="0000"/>
      </w:tblPr>
      <w:tblGrid>
        <w:gridCol w:w="3369"/>
        <w:gridCol w:w="5702"/>
      </w:tblGrid>
      <w:tr w:rsidTr="009F7E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D09AB">
            <w:pPr>
              <w:pStyle w:val="BodyText"/>
              <w:rPr>
                <w:lang w:val="en-NZ"/>
              </w:rPr>
            </w:pPr>
            <w:r w:rsidRPr="00CD09A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D09AB" w:rsidP="00CD09AB">
            <w:pPr>
              <w:pStyle w:val="BodyText"/>
            </w:pPr>
            <w:r w:rsidRPr="00CD09AB">
              <w:t>The Performance Criteria specify the level of performance required to demonstrate achievement of the Element. Terms in italics are elaborated in t</w:t>
            </w:r>
            <w:r w:rsidRPr="00CD09AB">
              <w:t xml:space="preserve">he Range Statement. </w:t>
            </w:r>
          </w:p>
        </w:tc>
      </w:tr>
    </w:tbl>
    <w:p w:rsidR="00000000" w:rsidRPr="00CD09AB" w:rsidP="00CD09AB">
      <w:pPr>
        <w:pStyle w:val="BodyText"/>
      </w:pPr>
    </w:p>
    <w:p w:rsidR="00000000" w:rsidRPr="00CD09AB" w:rsidP="00CD09AB">
      <w:pPr>
        <w:pStyle w:val="AllowPageBreak"/>
      </w:pPr>
    </w:p>
    <w:p w:rsidR="00000000" w:rsidRPr="00CD09AB" w:rsidP="00CD09AB">
      <w:pPr>
        <w:pStyle w:val="Heading1"/>
      </w:pPr>
      <w:bookmarkStart w:id="8" w:name="O_234098"/>
      <w:bookmarkEnd w:id="8"/>
      <w:r w:rsidRPr="00CD09AB">
        <w:t>Elements and Performance Criteria</w:t>
      </w:r>
    </w:p>
    <w:tbl>
      <w:tblPr>
        <w:tblW w:w="0" w:type="auto"/>
        <w:tblLayout w:type="fixed"/>
        <w:tblCellMar>
          <w:left w:w="62" w:type="dxa"/>
          <w:right w:w="62" w:type="dxa"/>
        </w:tblCellMar>
        <w:tblLook w:val="0000"/>
      </w:tblPr>
      <w:tblGrid>
        <w:gridCol w:w="3369"/>
        <w:gridCol w:w="5702"/>
      </w:tblGrid>
      <w:tr w:rsidTr="009F7EA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D09AB" w:rsidP="00CD09AB">
            <w:pPr>
              <w:pStyle w:val="BodyText"/>
            </w:pPr>
            <w:r w:rsidRPr="00CD09A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D09AB">
            <w:pPr>
              <w:pStyle w:val="BodyText"/>
              <w:rPr>
                <w:lang w:val="en-NZ"/>
              </w:rPr>
            </w:pPr>
            <w:r w:rsidRPr="00CD09AB">
              <w:rPr>
                <w:rStyle w:val="SpecialBold"/>
              </w:rPr>
              <w:t>PERFORMANCE CRITERIA</w:t>
            </w:r>
          </w:p>
        </w:tc>
      </w:tr>
      <w:tr w:rsidTr="009F7E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D09AB">
            <w:pPr>
              <w:pStyle w:val="List"/>
              <w:rPr>
                <w:lang w:val="en-NZ"/>
              </w:rPr>
            </w:pPr>
            <w:r w:rsidRPr="00CD09AB">
              <w:t>1.</w:t>
            </w:r>
            <w:r w:rsidRPr="00CD09AB">
              <w:tab/>
              <w:t xml:space="preserve">Communicate effectively with a </w:t>
            </w:r>
            <w:r w:rsidRPr="00CD09AB">
              <w:rPr>
                <w:rStyle w:val="Emphasis"/>
              </w:rPr>
              <w:t>diversity of young people</w:t>
            </w:r>
          </w:p>
        </w:tc>
        <w:tc>
          <w:tcPr>
            <w:tcW w:w="5702" w:type="dxa"/>
            <w:tcBorders>
              <w:top w:val="nil"/>
              <w:left w:val="nil"/>
              <w:bottom w:val="nil"/>
              <w:right w:val="nil"/>
            </w:tcBorders>
            <w:tcMar>
              <w:top w:w="0" w:type="dxa"/>
              <w:left w:w="62" w:type="dxa"/>
              <w:bottom w:w="0" w:type="dxa"/>
              <w:right w:w="62" w:type="dxa"/>
            </w:tcMar>
          </w:tcPr>
          <w:p w:rsidR="00000000" w:rsidRPr="00CD09AB" w:rsidP="00CD09AB">
            <w:pPr>
              <w:pStyle w:val="BodyText"/>
            </w:pPr>
            <w:r w:rsidRPr="00CD09AB">
              <w:t>1.1</w:t>
            </w:r>
            <w:r w:rsidRPr="00CD09AB">
              <w:tab/>
              <w:t>Listen to the young person to gain understanding of their experiences</w:t>
            </w:r>
          </w:p>
          <w:p w:rsidR="00000000" w:rsidRPr="00CD09AB" w:rsidP="00CD09AB">
            <w:pPr>
              <w:pStyle w:val="BodyText"/>
            </w:pPr>
            <w:r w:rsidRPr="00CD09AB">
              <w:t>1.2</w:t>
            </w:r>
            <w:r w:rsidRPr="00CD09AB">
              <w:tab/>
            </w:r>
            <w:r w:rsidRPr="00CD09AB">
              <w:t xml:space="preserve">Foster communication exchanges that supports the development of trust and rapport </w:t>
            </w:r>
          </w:p>
          <w:p w:rsidR="00000000" w:rsidRPr="00CD09AB" w:rsidP="00CD09AB">
            <w:pPr>
              <w:pStyle w:val="BodyText"/>
            </w:pPr>
            <w:r w:rsidRPr="00CD09AB">
              <w:t>1.3</w:t>
            </w:r>
            <w:r w:rsidRPr="00CD09AB">
              <w:tab/>
              <w:t>Process information about the young persons situation from their perspective</w:t>
            </w:r>
          </w:p>
          <w:p w:rsidR="00000000" w:rsidRPr="00CD09AB" w:rsidP="00CD09AB">
            <w:pPr>
              <w:pStyle w:val="BodyText"/>
            </w:pPr>
            <w:r w:rsidRPr="00CD09AB">
              <w:t>1.4</w:t>
            </w:r>
            <w:r w:rsidRPr="00CD09AB">
              <w:tab/>
              <w:t xml:space="preserve">Use a range of </w:t>
            </w:r>
            <w:r w:rsidRPr="00CD09AB">
              <w:rPr>
                <w:rStyle w:val="Emphasis"/>
              </w:rPr>
              <w:t>appropriate communication strategies</w:t>
            </w:r>
            <w:r w:rsidRPr="00CD09AB">
              <w:t xml:space="preserve"> to engage with young people </w:t>
            </w:r>
          </w:p>
          <w:p w:rsidR="00000000" w:rsidRPr="00CD09AB" w:rsidP="00CD09AB">
            <w:pPr>
              <w:pStyle w:val="BodyText"/>
            </w:pPr>
            <w:r w:rsidRPr="00CD09AB">
              <w:t>1.5</w:t>
            </w:r>
            <w:r w:rsidRPr="00CD09AB">
              <w:tab/>
              <w:t>Con</w:t>
            </w:r>
            <w:r w:rsidRPr="00CD09AB">
              <w:t>sider cultural sensitivities in communication techniques and adapt style and language to accommodate different cultural values and practices</w:t>
            </w:r>
          </w:p>
          <w:p w:rsidR="00000000" w:rsidP="00CD09AB">
            <w:pPr>
              <w:pStyle w:val="BodyText"/>
              <w:rPr>
                <w:lang w:val="en-NZ"/>
              </w:rPr>
            </w:pPr>
            <w:r w:rsidRPr="00CD09AB">
              <w:t>1.6</w:t>
            </w:r>
            <w:r w:rsidRPr="00CD09AB">
              <w:tab/>
              <w:t>Maintain young person's confidentiality in the context that the young person is the primary stakeholder</w:t>
            </w:r>
          </w:p>
        </w:tc>
      </w:tr>
      <w:tr w:rsidTr="009F7E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D09AB">
            <w:pPr>
              <w:pStyle w:val="BodyText"/>
              <w:rPr>
                <w:lang w:val="en-NZ"/>
              </w:rPr>
            </w:pPr>
          </w:p>
        </w:tc>
      </w:tr>
      <w:tr w:rsidTr="009F7E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D09AB">
            <w:pPr>
              <w:pStyle w:val="List"/>
              <w:rPr>
                <w:lang w:val="en-NZ"/>
              </w:rPr>
            </w:pPr>
            <w:r w:rsidRPr="00CD09AB">
              <w:t>2.</w:t>
            </w:r>
            <w:r w:rsidRPr="00CD09AB">
              <w:tab/>
            </w:r>
            <w:r w:rsidRPr="00CD09AB">
              <w:t>Reflect understanding of youth cultures, sub cultures and development</w:t>
            </w:r>
          </w:p>
        </w:tc>
        <w:tc>
          <w:tcPr>
            <w:tcW w:w="5702" w:type="dxa"/>
            <w:tcBorders>
              <w:top w:val="nil"/>
              <w:left w:val="nil"/>
              <w:bottom w:val="nil"/>
              <w:right w:val="nil"/>
            </w:tcBorders>
            <w:tcMar>
              <w:top w:w="0" w:type="dxa"/>
              <w:left w:w="62" w:type="dxa"/>
              <w:bottom w:w="0" w:type="dxa"/>
              <w:right w:w="62" w:type="dxa"/>
            </w:tcMar>
          </w:tcPr>
          <w:p w:rsidR="00000000" w:rsidRPr="00CD09AB" w:rsidP="00CD09AB">
            <w:pPr>
              <w:pStyle w:val="BodyText"/>
            </w:pPr>
            <w:r w:rsidRPr="00CD09AB">
              <w:t>2.1</w:t>
            </w:r>
            <w:r w:rsidRPr="00CD09AB">
              <w:tab/>
              <w:t xml:space="preserve">Take into account </w:t>
            </w:r>
            <w:r w:rsidRPr="00CD09AB">
              <w:rPr>
                <w:rStyle w:val="Emphasis"/>
              </w:rPr>
              <w:t>youth culture</w:t>
            </w:r>
            <w:r w:rsidRPr="00CD09AB">
              <w:t xml:space="preserve">, </w:t>
            </w:r>
            <w:r w:rsidRPr="00CD09AB">
              <w:rPr>
                <w:rStyle w:val="Emphasis"/>
              </w:rPr>
              <w:t>sub cultures</w:t>
            </w:r>
            <w:r w:rsidRPr="00CD09AB">
              <w:t xml:space="preserve"> and </w:t>
            </w:r>
            <w:r w:rsidRPr="00CD09AB">
              <w:rPr>
                <w:rStyle w:val="Emphasis"/>
              </w:rPr>
              <w:t>development of the young person</w:t>
            </w:r>
            <w:r w:rsidRPr="00CD09AB">
              <w:t xml:space="preserve"> in all actions and decisions</w:t>
            </w:r>
          </w:p>
          <w:p w:rsidR="00000000" w:rsidRPr="00CD09AB" w:rsidP="00CD09AB">
            <w:pPr>
              <w:pStyle w:val="BodyText"/>
            </w:pPr>
            <w:r w:rsidRPr="00CD09AB">
              <w:t>2.2</w:t>
            </w:r>
            <w:r w:rsidRPr="00CD09AB">
              <w:tab/>
              <w:t>Evaluate issues in relation to young person's culture and modify ap</w:t>
            </w:r>
            <w:r w:rsidRPr="00CD09AB">
              <w:t>proaches appropriately</w:t>
            </w:r>
          </w:p>
          <w:p w:rsidR="00000000" w:rsidRPr="00CD09AB" w:rsidP="00CD09AB">
            <w:pPr>
              <w:pStyle w:val="BodyText"/>
            </w:pPr>
            <w:r w:rsidRPr="00CD09AB">
              <w:t>2.4</w:t>
            </w:r>
            <w:r w:rsidRPr="00CD09AB">
              <w:tab/>
              <w:t xml:space="preserve">Select </w:t>
            </w:r>
            <w:r w:rsidRPr="00CD09AB">
              <w:rPr>
                <w:rStyle w:val="Emphasis"/>
              </w:rPr>
              <w:t>activities and resources</w:t>
            </w:r>
            <w:r w:rsidRPr="00CD09AB">
              <w:t xml:space="preserve"> to promote awareness, respect and value of diversity</w:t>
            </w:r>
          </w:p>
          <w:p w:rsidR="00000000" w:rsidRPr="00CD09AB" w:rsidP="00CD09AB">
            <w:pPr>
              <w:pStyle w:val="BodyText"/>
            </w:pPr>
            <w:r w:rsidRPr="00CD09AB">
              <w:t>2.5</w:t>
            </w:r>
            <w:r w:rsidRPr="00CD09AB">
              <w:tab/>
              <w:t>Establish guidelines that are relevant to the culture and background of the young person</w:t>
            </w:r>
          </w:p>
          <w:p w:rsidR="00000000" w:rsidP="00CD09AB">
            <w:pPr>
              <w:pStyle w:val="BodyText"/>
              <w:rPr>
                <w:lang w:val="en-NZ"/>
              </w:rPr>
            </w:pPr>
            <w:r w:rsidRPr="00CD09AB">
              <w:t>2.6</w:t>
            </w:r>
            <w:r w:rsidRPr="00CD09AB">
              <w:tab/>
              <w:t>Assess the impact of own cultural values, cultu</w:t>
            </w:r>
            <w:r w:rsidRPr="00CD09AB">
              <w:t>ral lens and ethnocentrism in youth work</w:t>
            </w:r>
          </w:p>
        </w:tc>
      </w:tr>
      <w:tr w:rsidTr="009F7E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D09AB">
            <w:pPr>
              <w:pStyle w:val="BodyText"/>
              <w:rPr>
                <w:lang w:val="en-NZ"/>
              </w:rPr>
            </w:pPr>
          </w:p>
        </w:tc>
      </w:tr>
      <w:tr w:rsidTr="009F7E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D09AB">
            <w:pPr>
              <w:pStyle w:val="List"/>
              <w:rPr>
                <w:lang w:val="en-NZ"/>
              </w:rPr>
            </w:pPr>
            <w:r w:rsidRPr="00CD09AB">
              <w:t>3.</w:t>
            </w:r>
            <w:r w:rsidRPr="00CD09AB">
              <w:tab/>
            </w:r>
            <w:r w:rsidRPr="00CD09AB">
              <w:rPr>
                <w:rStyle w:val="Emphasis"/>
              </w:rPr>
              <w:t>Work with the young person</w:t>
            </w:r>
            <w:r w:rsidRPr="00CD09AB">
              <w:t xml:space="preserve"> as the focus </w:t>
            </w:r>
          </w:p>
        </w:tc>
        <w:tc>
          <w:tcPr>
            <w:tcW w:w="5702" w:type="dxa"/>
            <w:tcBorders>
              <w:top w:val="nil"/>
              <w:left w:val="nil"/>
              <w:bottom w:val="nil"/>
              <w:right w:val="nil"/>
            </w:tcBorders>
            <w:tcMar>
              <w:top w:w="0" w:type="dxa"/>
              <w:left w:w="62" w:type="dxa"/>
              <w:bottom w:w="0" w:type="dxa"/>
              <w:right w:w="62" w:type="dxa"/>
            </w:tcMar>
          </w:tcPr>
          <w:p w:rsidR="00000000" w:rsidRPr="00CD09AB" w:rsidP="00CD09AB">
            <w:pPr>
              <w:pStyle w:val="BodyText"/>
            </w:pPr>
            <w:r w:rsidRPr="00CD09AB">
              <w:t>3.1</w:t>
            </w:r>
            <w:r w:rsidRPr="00CD09AB">
              <w:tab/>
              <w:t xml:space="preserve">Apply </w:t>
            </w:r>
            <w:r w:rsidRPr="00CD09AB">
              <w:rPr>
                <w:rStyle w:val="Emphasis"/>
              </w:rPr>
              <w:t>youth centred practices</w:t>
            </w:r>
            <w:r w:rsidRPr="00CD09AB">
              <w:t xml:space="preserve"> when working with young people</w:t>
            </w:r>
          </w:p>
          <w:p w:rsidR="00000000" w:rsidRPr="00CD09AB" w:rsidP="00CD09AB">
            <w:pPr>
              <w:pStyle w:val="BodyText"/>
            </w:pPr>
            <w:r w:rsidRPr="00CD09AB">
              <w:t>3.2</w:t>
            </w:r>
            <w:r w:rsidRPr="00CD09AB">
              <w:tab/>
              <w:t>Respect the rights needs and responsibilities of the young person</w:t>
            </w:r>
          </w:p>
          <w:p w:rsidR="00000000" w:rsidRPr="00CD09AB" w:rsidP="00CD09AB">
            <w:pPr>
              <w:pStyle w:val="BodyText"/>
            </w:pPr>
            <w:r w:rsidRPr="00CD09AB">
              <w:t>3.3</w:t>
            </w:r>
            <w:r w:rsidRPr="00CD09AB">
              <w:tab/>
              <w:t>Convey worker rights and res</w:t>
            </w:r>
            <w:r w:rsidRPr="00CD09AB">
              <w:t>ponsibilities as necessary</w:t>
            </w:r>
          </w:p>
          <w:p w:rsidR="00000000" w:rsidRPr="00CD09AB" w:rsidP="00CD09AB">
            <w:pPr>
              <w:pStyle w:val="BodyText"/>
            </w:pPr>
            <w:r w:rsidRPr="00CD09AB">
              <w:t>3.4</w:t>
            </w:r>
            <w:r w:rsidRPr="00CD09AB">
              <w:tab/>
              <w:t xml:space="preserve">Establish a professional relationship and boundary expectations with the young person </w:t>
            </w:r>
          </w:p>
          <w:p w:rsidR="00000000" w:rsidRPr="00CD09AB" w:rsidP="00CD09AB">
            <w:pPr>
              <w:pStyle w:val="BodyText"/>
            </w:pPr>
            <w:r w:rsidRPr="00CD09AB">
              <w:t>3.5</w:t>
            </w:r>
            <w:r w:rsidRPr="00CD09AB">
              <w:tab/>
              <w:t xml:space="preserve">Recognise, and manage </w:t>
            </w:r>
            <w:r w:rsidRPr="00CD09AB">
              <w:rPr>
                <w:rStyle w:val="Emphasis"/>
              </w:rPr>
              <w:t>power inequities in the</w:t>
            </w:r>
            <w:r w:rsidRPr="00CD09AB">
              <w:t xml:space="preserve">  </w:t>
            </w:r>
            <w:r w:rsidRPr="00CD09AB">
              <w:rPr>
                <w:rStyle w:val="Emphasis"/>
              </w:rPr>
              <w:t>professional relationship</w:t>
            </w:r>
          </w:p>
          <w:p w:rsidR="00000000" w:rsidP="00CD09AB">
            <w:pPr>
              <w:pStyle w:val="BodyText"/>
              <w:rPr>
                <w:lang w:val="en-NZ"/>
              </w:rPr>
            </w:pPr>
            <w:r w:rsidRPr="00CD09AB">
              <w:t>3.6</w:t>
            </w:r>
            <w:r w:rsidRPr="00CD09AB">
              <w:tab/>
              <w:t xml:space="preserve">Apply </w:t>
            </w:r>
            <w:r w:rsidRPr="00CD09AB">
              <w:rPr>
                <w:rStyle w:val="Emphasis"/>
              </w:rPr>
              <w:t>principles of ethical decision</w:t>
            </w:r>
            <w:r w:rsidRPr="00CD09AB">
              <w:t>-</w:t>
            </w:r>
            <w:r w:rsidRPr="00CD09AB">
              <w:rPr>
                <w:rStyle w:val="Emphasis"/>
              </w:rPr>
              <w:t>making</w:t>
            </w:r>
            <w:r w:rsidRPr="00CD09AB">
              <w:t xml:space="preserve"> in working wi</w:t>
            </w:r>
            <w:r w:rsidRPr="00CD09AB">
              <w:t xml:space="preserve">th young people </w:t>
            </w:r>
          </w:p>
        </w:tc>
      </w:tr>
      <w:tr w:rsidTr="009F7E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D09AB" w:rsidP="00CD09AB">
            <w:pPr>
              <w:pStyle w:val="BodyText"/>
            </w:pPr>
          </w:p>
        </w:tc>
      </w:tr>
    </w:tbl>
    <w:p w:rsidR="009F7EA2" w:rsidP="00CD09AB">
      <w:pPr>
        <w:pStyle w:val="BodyText"/>
      </w:pPr>
    </w:p>
    <w:p w:rsidR="009F7EA2" w:rsidP="00CD09AB">
      <w:pPr>
        <w:pStyle w:val="BodyText"/>
      </w:pPr>
    </w:p>
    <w:p w:rsidR="00000000" w:rsidRPr="00CD09AB" w:rsidP="00CD09AB">
      <w:pPr>
        <w:pStyle w:val="Heading1"/>
      </w:pPr>
      <w:bookmarkStart w:id="9" w:name="O_258048"/>
      <w:bookmarkEnd w:id="9"/>
      <w:r w:rsidRPr="00CD09AB">
        <w:t>Required Skills and Knowledge</w:t>
      </w:r>
    </w:p>
    <w:tbl>
      <w:tblPr>
        <w:tblW w:w="0" w:type="auto"/>
        <w:tblLayout w:type="fixed"/>
        <w:tblCellMar>
          <w:left w:w="62" w:type="dxa"/>
          <w:right w:w="62" w:type="dxa"/>
        </w:tblCellMar>
        <w:tblLook w:val="0000"/>
      </w:tblPr>
      <w:tblGrid>
        <w:gridCol w:w="9072"/>
      </w:tblGrid>
      <w:tr w:rsidTr="009F7EA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D09AB">
            <w:pPr>
              <w:pStyle w:val="BodyText"/>
              <w:rPr>
                <w:lang w:val="en-NZ"/>
              </w:rPr>
            </w:pPr>
            <w:r w:rsidRPr="00CD09AB">
              <w:rPr>
                <w:rStyle w:val="SpecialBold"/>
              </w:rPr>
              <w:t>REQUIRED SKILLS AND KNOWLEDGE</w:t>
            </w:r>
          </w:p>
        </w:tc>
      </w:tr>
      <w:tr w:rsidTr="009F7E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D09AB">
            <w:pPr>
              <w:pStyle w:val="BodyText"/>
              <w:rPr>
                <w:lang w:val="en-NZ"/>
              </w:rPr>
            </w:pPr>
          </w:p>
        </w:tc>
      </w:tr>
      <w:tr w:rsidTr="009F7E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D09AB">
            <w:pPr>
              <w:pStyle w:val="BodyText"/>
              <w:rPr>
                <w:lang w:val="en-NZ"/>
              </w:rPr>
            </w:pPr>
            <w:r w:rsidRPr="00CD09AB">
              <w:t>This describes the essential skills and knowledge and their level required for this unit.</w:t>
            </w:r>
          </w:p>
        </w:tc>
      </w:tr>
      <w:tr w:rsidTr="009F7E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D09AB">
            <w:pPr>
              <w:pStyle w:val="BodyText"/>
              <w:rPr>
                <w:lang w:val="en-NZ"/>
              </w:rPr>
            </w:pPr>
          </w:p>
        </w:tc>
      </w:tr>
      <w:tr w:rsidTr="009F7E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D09AB" w:rsidP="00CD09AB">
            <w:pPr>
              <w:pStyle w:val="BodyText"/>
            </w:pPr>
            <w:r w:rsidRPr="00CD09AB">
              <w:rPr>
                <w:rStyle w:val="Emphasis"/>
              </w:rPr>
              <w:t>Essential knowledge</w:t>
            </w:r>
            <w:r w:rsidRPr="00CD09AB">
              <w:t>:</w:t>
            </w:r>
          </w:p>
          <w:p w:rsidR="00000000" w:rsidRPr="00CD09AB" w:rsidP="00CD09AB">
            <w:pPr>
              <w:pStyle w:val="BodyText"/>
            </w:pPr>
            <w:r w:rsidRPr="00CD09A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D09AB" w:rsidP="00CD09AB">
            <w:pPr>
              <w:pStyle w:val="BodyText"/>
            </w:pPr>
            <w:r w:rsidRPr="00CD09AB">
              <w:t xml:space="preserve">These include </w:t>
            </w:r>
            <w:r w:rsidRPr="00CD09AB">
              <w:t>knowledge of:</w:t>
            </w:r>
          </w:p>
          <w:p w:rsidR="00000000" w:rsidRPr="00CD09AB" w:rsidP="00CD09AB">
            <w:pPr>
              <w:pStyle w:val="ListBullet"/>
            </w:pPr>
            <w:r w:rsidRPr="00CD09AB">
              <w:t>Aspects of human behaviour and development related to young people, their personal and social development and relationships</w:t>
            </w:r>
          </w:p>
          <w:p w:rsidR="00000000" w:rsidRPr="00CD09AB" w:rsidP="00CD09AB">
            <w:pPr>
              <w:pStyle w:val="ListBullet"/>
            </w:pPr>
            <w:r w:rsidRPr="00CD09AB">
              <w:t>Current issues facing young people and existing services to address their needs and rights</w:t>
            </w:r>
          </w:p>
          <w:p w:rsidR="00000000" w:rsidRPr="00CD09AB" w:rsidP="00CD09AB">
            <w:pPr>
              <w:pStyle w:val="ListBullet"/>
            </w:pPr>
            <w:r w:rsidRPr="00CD09AB">
              <w:t xml:space="preserve">Different world views and </w:t>
            </w:r>
            <w:r w:rsidRPr="00CD09AB">
              <w:t>the interrelationship of society, culture, and the young person</w:t>
            </w:r>
          </w:p>
          <w:p w:rsidR="00000000" w:rsidRPr="00CD09AB" w:rsidP="00CD09AB">
            <w:pPr>
              <w:pStyle w:val="ListBullet"/>
            </w:pPr>
            <w:r w:rsidRPr="00CD09AB">
              <w:t>Diversity in all forms - cultural, sexualities, abilities, socioeconomics, experiences of migrants, refugees and asylum seekers, geographical locations</w:t>
            </w:r>
          </w:p>
          <w:p w:rsidR="00000000" w:rsidRPr="00CD09AB" w:rsidP="00CD09AB">
            <w:pPr>
              <w:pStyle w:val="ListBullet"/>
            </w:pPr>
            <w:r w:rsidRPr="00CD09AB">
              <w:t>Own cultural values, cultural lens and e</w:t>
            </w:r>
            <w:r w:rsidRPr="00CD09AB">
              <w:t>thnocentrism</w:t>
            </w:r>
          </w:p>
          <w:p w:rsidR="00000000" w:rsidRPr="00CD09AB" w:rsidP="00CD09AB">
            <w:pPr>
              <w:pStyle w:val="ListBullet"/>
            </w:pPr>
            <w:r w:rsidRPr="00CD09AB">
              <w:t>Own work role within the context of the youth sector</w:t>
            </w:r>
          </w:p>
          <w:p w:rsidR="00000000" w:rsidRPr="00CD09AB" w:rsidP="00CD09AB">
            <w:pPr>
              <w:pStyle w:val="ListBullet"/>
            </w:pPr>
            <w:r w:rsidRPr="00CD09AB">
              <w:t>Principles of access and equity</w:t>
            </w:r>
          </w:p>
          <w:p w:rsidR="00000000" w:rsidRPr="00CD09AB" w:rsidP="00CD09AB">
            <w:pPr>
              <w:pStyle w:val="ListBullet"/>
            </w:pPr>
            <w:r w:rsidRPr="00CD09AB">
              <w:t>Principles of ethical decision-making</w:t>
            </w:r>
          </w:p>
          <w:p w:rsidR="00000000" w:rsidRPr="00CD09AB" w:rsidP="00CD09AB">
            <w:pPr>
              <w:pStyle w:val="ListBullet"/>
            </w:pPr>
            <w:r w:rsidRPr="00CD09AB">
              <w:t>Statutory frameworks in which the work role functions</w:t>
            </w:r>
          </w:p>
          <w:p w:rsidR="00000000" w:rsidRPr="00CD09AB" w:rsidP="00CD09AB">
            <w:pPr>
              <w:pStyle w:val="ListBullet"/>
            </w:pPr>
            <w:r w:rsidRPr="00CD09AB">
              <w:t>The impact of judgement making skills in working with young people</w:t>
            </w:r>
          </w:p>
          <w:p w:rsidR="00000000" w:rsidRPr="00CD09AB" w:rsidP="00CD09AB">
            <w:pPr>
              <w:pStyle w:val="ListBullet"/>
            </w:pPr>
            <w:r w:rsidRPr="00CD09AB">
              <w:t>Youth centred practices with focus on the young person as the primary stakeholder</w:t>
            </w:r>
          </w:p>
          <w:p w:rsidR="00000000" w:rsidP="00CD09AB">
            <w:pPr>
              <w:pStyle w:val="ListBullet"/>
              <w:rPr>
                <w:lang w:val="en-NZ"/>
              </w:rPr>
            </w:pPr>
            <w:r w:rsidRPr="00CD09AB">
              <w:t>Youth cultures, social, political and economic and professional frameworks</w:t>
            </w:r>
          </w:p>
        </w:tc>
      </w:tr>
      <w:tr w:rsidTr="009F7E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D09AB">
            <w:pPr>
              <w:pStyle w:val="BodyText"/>
              <w:rPr>
                <w:lang w:val="en-NZ"/>
              </w:rPr>
            </w:pPr>
          </w:p>
        </w:tc>
      </w:tr>
      <w:tr w:rsidTr="009F7E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D09AB" w:rsidP="00CD09AB">
            <w:pPr>
              <w:pStyle w:val="BodyText"/>
            </w:pPr>
            <w:r w:rsidRPr="00CD09AB">
              <w:rPr>
                <w:rStyle w:val="Emphasis"/>
              </w:rPr>
              <w:t>Essential skills</w:t>
            </w:r>
            <w:r w:rsidRPr="00CD09AB">
              <w:t>:</w:t>
            </w:r>
          </w:p>
          <w:p w:rsidR="00000000" w:rsidRPr="00CD09AB" w:rsidP="00CD09AB">
            <w:pPr>
              <w:pStyle w:val="BodyText"/>
            </w:pPr>
            <w:r w:rsidRPr="00CD09AB">
              <w:t>It is critical that the candidate demonstrate the ability to:</w:t>
            </w:r>
          </w:p>
          <w:p w:rsidR="00000000" w:rsidRPr="00CD09AB" w:rsidP="00CD09AB">
            <w:pPr>
              <w:pStyle w:val="ListBullet"/>
            </w:pPr>
            <w:r w:rsidRPr="00CD09AB">
              <w:t>Demonstrate in</w:t>
            </w:r>
            <w:r w:rsidRPr="00CD09AB">
              <w:t xml:space="preserve">terpersonal communication with diversity of young people </w:t>
            </w:r>
          </w:p>
          <w:p w:rsidR="00000000" w:rsidRPr="00CD09AB" w:rsidP="00CD09AB">
            <w:pPr>
              <w:pStyle w:val="ListBullet"/>
            </w:pPr>
            <w:r w:rsidRPr="00CD09AB">
              <w:t>Work as part of a team or as a sole worker in working with young people</w:t>
            </w:r>
          </w:p>
          <w:p w:rsidR="00000000" w:rsidRPr="00CD09AB" w:rsidP="00CD09AB">
            <w:pPr>
              <w:pStyle w:val="BodyText"/>
            </w:pPr>
          </w:p>
          <w:p w:rsidR="00000000" w:rsidRPr="00CD09AB" w:rsidP="00CD09AB">
            <w:pPr>
              <w:pStyle w:val="BodyText"/>
            </w:pPr>
            <w:r w:rsidRPr="00CD09AB">
              <w:t>In addition, the candidate must be able to effectively do the task outlined in elements and performance criteria of this unit</w:t>
            </w:r>
            <w:r w:rsidRPr="00CD09AB">
              <w:t>, manage the task and manage contingencies in the context of the identified work role</w:t>
            </w:r>
          </w:p>
          <w:p w:rsidR="00000000" w:rsidRPr="00CD09AB" w:rsidP="00CD09AB">
            <w:pPr>
              <w:pStyle w:val="BodyText"/>
            </w:pPr>
            <w:r w:rsidRPr="00CD09AB">
              <w:t>These include the ability to:</w:t>
            </w:r>
          </w:p>
          <w:p w:rsidR="00000000" w:rsidRPr="00CD09AB" w:rsidP="00CD09AB">
            <w:pPr>
              <w:pStyle w:val="ListBullet"/>
            </w:pPr>
            <w:r w:rsidRPr="00CD09AB">
              <w:t>Advocate for young people as the primary client</w:t>
            </w:r>
          </w:p>
          <w:p w:rsidR="00000000" w:rsidRPr="00CD09AB" w:rsidP="00CD09AB">
            <w:pPr>
              <w:pStyle w:val="ListBullet"/>
            </w:pPr>
            <w:r w:rsidRPr="00CD09AB">
              <w:t>Apply engagement skills with young people with diverse range of presenting issues and experiences</w:t>
            </w:r>
          </w:p>
          <w:p w:rsidR="00000000" w:rsidRPr="00CD09AB" w:rsidP="00CD09AB">
            <w:pPr>
              <w:pStyle w:val="ListBullet"/>
            </w:pPr>
            <w:r w:rsidRPr="00CD09AB">
              <w:t>Apply principles of ethical decision-making to ethical dilemmas when the young person is the primary client</w:t>
            </w:r>
          </w:p>
          <w:p w:rsidR="00000000" w:rsidRPr="00CD09AB" w:rsidP="00CD09AB">
            <w:pPr>
              <w:pStyle w:val="ListBullet"/>
            </w:pPr>
            <w:r w:rsidRPr="00CD09AB">
              <w:t>Appreciate and critique difference</w:t>
            </w:r>
          </w:p>
          <w:p w:rsidR="00000000" w:rsidRPr="00CD09AB" w:rsidP="00CD09AB">
            <w:pPr>
              <w:pStyle w:val="ListBullet"/>
            </w:pPr>
            <w:r w:rsidRPr="00CD09AB">
              <w:t>Celebrate diver</w:t>
            </w:r>
            <w:r w:rsidRPr="00CD09AB">
              <w:t>sity and value uniqueness</w:t>
            </w:r>
          </w:p>
          <w:p w:rsidR="00000000" w:rsidP="00CD09AB">
            <w:pPr>
              <w:pStyle w:val="ListBullet"/>
              <w:rPr>
                <w:lang w:val="en-NZ"/>
              </w:rPr>
            </w:pPr>
            <w:r w:rsidRPr="00CD09AB">
              <w:t>Establish and maintain a professional relationship with young people</w:t>
            </w:r>
          </w:p>
        </w:tc>
      </w:tr>
      <w:tr w:rsidTr="009F7E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D09AB" w:rsidP="00CD09AB">
            <w:pPr>
              <w:pStyle w:val="BodyText"/>
            </w:pPr>
          </w:p>
        </w:tc>
      </w:tr>
    </w:tbl>
    <w:p w:rsidR="009F7EA2" w:rsidP="00CD09AB">
      <w:pPr>
        <w:pStyle w:val="BodyText"/>
      </w:pPr>
    </w:p>
    <w:p w:rsidR="009F7EA2" w:rsidP="00CD09AB">
      <w:pPr>
        <w:pStyle w:val="BodyText"/>
      </w:pPr>
    </w:p>
    <w:p w:rsidR="00000000" w:rsidRPr="00CD09AB" w:rsidP="00CD09AB">
      <w:pPr>
        <w:pStyle w:val="Heading1"/>
      </w:pPr>
      <w:bookmarkStart w:id="10" w:name="O_242082"/>
      <w:bookmarkEnd w:id="10"/>
      <w:r w:rsidRPr="00CD09AB">
        <w:t>Evidence Guide</w:t>
      </w:r>
    </w:p>
    <w:tbl>
      <w:tblPr>
        <w:tblW w:w="0" w:type="auto"/>
        <w:tblLayout w:type="fixed"/>
        <w:tblCellMar>
          <w:left w:w="62" w:type="dxa"/>
          <w:right w:w="62" w:type="dxa"/>
        </w:tblCellMar>
        <w:tblLook w:val="0000"/>
      </w:tblPr>
      <w:tblGrid>
        <w:gridCol w:w="3402"/>
        <w:gridCol w:w="5670"/>
      </w:tblGrid>
      <w:tr w:rsidTr="009F7EA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D09AB">
            <w:pPr>
              <w:pStyle w:val="BodyText"/>
              <w:rPr>
                <w:lang w:val="en-NZ"/>
              </w:rPr>
            </w:pPr>
            <w:r w:rsidRPr="00CD09AB">
              <w:rPr>
                <w:rStyle w:val="SpecialBold"/>
              </w:rPr>
              <w:t>EVIDENCE GUIDE</w:t>
            </w:r>
          </w:p>
        </w:tc>
      </w:tr>
      <w:tr w:rsidTr="009F7E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D09AB">
            <w:pPr>
              <w:pStyle w:val="BodyText"/>
              <w:rPr>
                <w:lang w:val="en-NZ"/>
              </w:rPr>
            </w:pPr>
          </w:p>
        </w:tc>
      </w:tr>
      <w:tr w:rsidTr="009F7E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D09AB">
            <w:pPr>
              <w:pStyle w:val="BodyText"/>
              <w:rPr>
                <w:lang w:val="en-NZ"/>
              </w:rPr>
            </w:pPr>
            <w:r w:rsidRPr="00CD09AB">
              <w:t>The evidence guide provides advice on assessment and must be read in conjunction with the Performance Criteria, Required Skills and Knowledge, the Range Statement and the Assessment Guidelines for this Training Package.</w:t>
            </w:r>
          </w:p>
        </w:tc>
      </w:tr>
      <w:tr w:rsidTr="009F7E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D09AB">
            <w:pPr>
              <w:pStyle w:val="BodyText"/>
              <w:rPr>
                <w:lang w:val="en-NZ"/>
              </w:rPr>
            </w:pPr>
          </w:p>
        </w:tc>
      </w:tr>
      <w:tr w:rsidTr="009F7E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09AB">
            <w:pPr>
              <w:pStyle w:val="BodyText"/>
              <w:rPr>
                <w:lang w:val="en-NZ"/>
              </w:rPr>
            </w:pPr>
            <w:r w:rsidRPr="00CD09AB">
              <w:rPr>
                <w:rStyle w:val="Emphasis"/>
              </w:rPr>
              <w:t>Critical aspects for assessment</w:t>
            </w:r>
            <w:r w:rsidRPr="00CD09AB">
              <w:rPr>
                <w:rStyle w:val="Emphasis"/>
              </w:rPr>
              <w:t xml:space="preserve"> and evidence required to demonstrate this unit of competency</w:t>
            </w:r>
            <w:r w:rsidRPr="00CD09AB">
              <w:t xml:space="preserve">: </w:t>
            </w:r>
          </w:p>
        </w:tc>
        <w:tc>
          <w:tcPr>
            <w:tcW w:w="5670" w:type="dxa"/>
            <w:tcBorders>
              <w:top w:val="nil"/>
              <w:left w:val="nil"/>
              <w:bottom w:val="nil"/>
              <w:right w:val="nil"/>
            </w:tcBorders>
            <w:tcMar>
              <w:top w:w="0" w:type="dxa"/>
              <w:left w:w="62" w:type="dxa"/>
              <w:bottom w:w="0" w:type="dxa"/>
              <w:right w:w="62" w:type="dxa"/>
            </w:tcMar>
          </w:tcPr>
          <w:p w:rsidR="00000000" w:rsidRPr="00CD09AB" w:rsidP="00CD09AB">
            <w:pPr>
              <w:pStyle w:val="ListBullet"/>
            </w:pPr>
            <w:r w:rsidRPr="00CD09AB">
              <w:t>The individual being assessed must provide evidence of specified essential knowledge as well as skills</w:t>
            </w:r>
          </w:p>
          <w:p w:rsidR="00000000" w:rsidRPr="00CD09AB" w:rsidP="00CD09AB">
            <w:pPr>
              <w:pStyle w:val="ListBullet"/>
            </w:pPr>
            <w:r w:rsidRPr="00CD09AB">
              <w:t>This unit is best assessed in the workplace or in a simulated workplace under the normal range of conditions</w:t>
            </w:r>
          </w:p>
          <w:p w:rsidR="00000000" w:rsidP="00CD09AB">
            <w:pPr>
              <w:pStyle w:val="ListBullet"/>
              <w:rPr>
                <w:lang w:val="en-NZ"/>
              </w:rPr>
            </w:pPr>
            <w:r w:rsidRPr="00CD09AB">
              <w:t>Consistency in performance should consider the organisation and individual context within which work takes place</w:t>
            </w:r>
          </w:p>
        </w:tc>
      </w:tr>
      <w:tr w:rsidTr="009F7E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09AB">
            <w:pPr>
              <w:pStyle w:val="BodyText"/>
              <w:rPr>
                <w:lang w:val="en-NZ"/>
              </w:rPr>
            </w:pPr>
          </w:p>
        </w:tc>
      </w:tr>
      <w:tr w:rsidTr="009F7E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09AB">
            <w:pPr>
              <w:pStyle w:val="BodyText"/>
              <w:rPr>
                <w:lang w:val="en-NZ"/>
              </w:rPr>
            </w:pPr>
            <w:r w:rsidRPr="00CD09AB">
              <w:rPr>
                <w:rStyle w:val="Emphasis"/>
              </w:rPr>
              <w:t>Access and equity consideratio</w:t>
            </w:r>
            <w:r w:rsidRPr="00CD09AB">
              <w:rPr>
                <w:rStyle w:val="Emphasis"/>
              </w:rPr>
              <w:t>ns</w:t>
            </w:r>
            <w:r w:rsidRPr="00CD09AB">
              <w:t>:</w:t>
            </w:r>
          </w:p>
        </w:tc>
        <w:tc>
          <w:tcPr>
            <w:tcW w:w="5670" w:type="dxa"/>
            <w:tcBorders>
              <w:top w:val="nil"/>
              <w:left w:val="nil"/>
              <w:bottom w:val="nil"/>
              <w:right w:val="nil"/>
            </w:tcBorders>
            <w:tcMar>
              <w:top w:w="0" w:type="dxa"/>
              <w:left w:w="62" w:type="dxa"/>
              <w:bottom w:w="0" w:type="dxa"/>
              <w:right w:w="62" w:type="dxa"/>
            </w:tcMar>
          </w:tcPr>
          <w:p w:rsidR="00000000" w:rsidRPr="00CD09AB" w:rsidP="00CD09AB">
            <w:pPr>
              <w:pStyle w:val="ListBullet"/>
            </w:pPr>
            <w:r w:rsidRPr="00CD09AB">
              <w:t>All workers in community services should be aware of access, equity and human rights issues in relation to their own area of work</w:t>
            </w:r>
          </w:p>
          <w:p w:rsidR="00000000" w:rsidRPr="00CD09AB" w:rsidP="00CD09AB">
            <w:pPr>
              <w:pStyle w:val="ListBullet"/>
            </w:pPr>
            <w:r w:rsidRPr="00CD09AB">
              <w:t xml:space="preserve">All workers should develop their ability to work in a culturally diverse environment </w:t>
            </w:r>
          </w:p>
          <w:p w:rsidR="00000000" w:rsidRPr="00CD09AB" w:rsidP="00CD09AB">
            <w:pPr>
              <w:pStyle w:val="ListBullet"/>
            </w:pPr>
            <w:r w:rsidRPr="00CD09AB">
              <w:t>In recognition of particular issues</w:t>
            </w:r>
            <w:r w:rsidRPr="00CD09AB">
              <w:t xml:space="preserve"> facing Aboriginal and Torres Strait Islander communities, workers should be aware of cultural, historical and current issues impacting on Aboriginal and Torres Strait Islander people</w:t>
            </w:r>
          </w:p>
          <w:p w:rsidR="00000000" w:rsidP="00CD09AB">
            <w:pPr>
              <w:pStyle w:val="ListBullet"/>
              <w:rPr>
                <w:lang w:val="en-NZ"/>
              </w:rPr>
            </w:pPr>
            <w:r w:rsidRPr="00CD09AB">
              <w:t>Assessors and trainers must take into account relevant access and equity</w:t>
            </w:r>
            <w:r w:rsidRPr="00CD09AB">
              <w:t xml:space="preserve"> issues, in particular relating to factors impacting on Aboriginal and/or Torres Strait Islander clients and communities</w:t>
            </w:r>
          </w:p>
        </w:tc>
      </w:tr>
      <w:tr w:rsidTr="009F7E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09AB">
            <w:pPr>
              <w:pStyle w:val="BodyText"/>
              <w:rPr>
                <w:lang w:val="en-NZ"/>
              </w:rPr>
            </w:pPr>
          </w:p>
        </w:tc>
      </w:tr>
      <w:tr w:rsidTr="009F7E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09AB">
            <w:pPr>
              <w:pStyle w:val="BodyText"/>
              <w:rPr>
                <w:lang w:val="en-NZ"/>
              </w:rPr>
            </w:pPr>
            <w:r w:rsidRPr="00CD09AB">
              <w:rPr>
                <w:rStyle w:val="Emphasis"/>
              </w:rPr>
              <w:t>Context of and specific resources for assessment</w:t>
            </w:r>
            <w:r w:rsidRPr="00CD09AB">
              <w:t xml:space="preserve">: </w:t>
            </w:r>
          </w:p>
        </w:tc>
        <w:tc>
          <w:tcPr>
            <w:tcW w:w="5670" w:type="dxa"/>
            <w:tcBorders>
              <w:top w:val="nil"/>
              <w:left w:val="nil"/>
              <w:bottom w:val="nil"/>
              <w:right w:val="nil"/>
            </w:tcBorders>
            <w:tcMar>
              <w:top w:w="0" w:type="dxa"/>
              <w:left w:w="62" w:type="dxa"/>
              <w:bottom w:w="0" w:type="dxa"/>
              <w:right w:w="62" w:type="dxa"/>
            </w:tcMar>
          </w:tcPr>
          <w:p w:rsidR="00000000" w:rsidRPr="00CD09AB" w:rsidP="00CD09AB">
            <w:pPr>
              <w:pStyle w:val="ListBullet"/>
            </w:pPr>
            <w:r w:rsidRPr="00CD09AB">
              <w:t>This unit can be assessed independently, however holistic assessment practice with other community services units of competency is encouraged</w:t>
            </w:r>
          </w:p>
          <w:p w:rsidR="00000000" w:rsidRPr="00CD09AB" w:rsidP="00CD09AB">
            <w:pPr>
              <w:pStyle w:val="ListBullet"/>
            </w:pPr>
            <w:r w:rsidRPr="00CD09AB">
              <w:t>Resource requirements for assessment of this unit include access to:</w:t>
            </w:r>
          </w:p>
          <w:p w:rsidR="00000000" w:rsidP="00CD09AB">
            <w:pPr>
              <w:pStyle w:val="ListBullet2"/>
              <w:rPr>
                <w:lang w:val="en-NZ"/>
              </w:rPr>
            </w:pPr>
            <w:r w:rsidRPr="00CD09AB">
              <w:t>a workplace or an accurately simulated envir</w:t>
            </w:r>
            <w:r w:rsidRPr="00CD09AB">
              <w:t>onment where assessment may take place</w:t>
            </w:r>
          </w:p>
        </w:tc>
      </w:tr>
      <w:tr w:rsidTr="009F7E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09AB">
            <w:pPr>
              <w:pStyle w:val="BodyText"/>
              <w:rPr>
                <w:lang w:val="en-NZ"/>
              </w:rPr>
            </w:pPr>
          </w:p>
        </w:tc>
      </w:tr>
      <w:tr w:rsidTr="009F7E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09AB">
            <w:pPr>
              <w:pStyle w:val="BodyText"/>
              <w:rPr>
                <w:lang w:val="en-NZ"/>
              </w:rPr>
            </w:pPr>
            <w:r w:rsidRPr="00CD09AB">
              <w:rPr>
                <w:rStyle w:val="Emphasis"/>
              </w:rPr>
              <w:t>Method of assessment</w:t>
            </w:r>
            <w:r w:rsidRPr="00CD09AB">
              <w:t>:</w:t>
            </w:r>
          </w:p>
        </w:tc>
        <w:tc>
          <w:tcPr>
            <w:tcW w:w="5670" w:type="dxa"/>
            <w:tcBorders>
              <w:top w:val="nil"/>
              <w:left w:val="nil"/>
              <w:bottom w:val="nil"/>
              <w:right w:val="nil"/>
            </w:tcBorders>
            <w:tcMar>
              <w:top w:w="0" w:type="dxa"/>
              <w:left w:w="62" w:type="dxa"/>
              <w:bottom w:w="0" w:type="dxa"/>
              <w:right w:w="62" w:type="dxa"/>
            </w:tcMar>
          </w:tcPr>
          <w:p w:rsidR="00000000" w:rsidRPr="00CD09AB" w:rsidP="00CD09AB">
            <w:pPr>
              <w:pStyle w:val="ListBullet"/>
            </w:pPr>
            <w:r w:rsidRPr="00CD09AB">
              <w:t>In cases where the learner does not have the opportunity to cover all relevant aspects in the work environment, the remainder should be assessed through r</w:t>
            </w:r>
            <w:r w:rsidRPr="00CD09AB">
              <w:t>ealistic simulations, projects, previous relevant experience or oral questioning on 'What if?' scenarios</w:t>
            </w:r>
          </w:p>
          <w:p w:rsidR="00000000" w:rsidRPr="00CD09AB" w:rsidP="00CD09AB">
            <w:pPr>
              <w:pStyle w:val="ListBullet"/>
            </w:pPr>
            <w:r w:rsidRPr="00CD09AB">
              <w:t>Assessment of this unit of competence will usually include observation of processes and procedures, oral and/or written questioning on Essential knowle</w:t>
            </w:r>
            <w:r w:rsidRPr="00CD09AB">
              <w:t>dge and skills and consideration of required attitudes</w:t>
            </w:r>
          </w:p>
          <w:p w:rsidR="00000000" w:rsidP="00CD09AB">
            <w:pPr>
              <w:pStyle w:val="ListBullet"/>
              <w:rPr>
                <w:lang w:val="en-NZ"/>
              </w:rPr>
            </w:pPr>
            <w:r w:rsidRPr="00CD09AB">
              <w:t>Where performance is not directly observed and/or is required to be demonstrated over a 'period of time' and/or in a 'number of locations', any evidence should be authenticated by colleagues, superviso</w:t>
            </w:r>
            <w:r w:rsidRPr="00CD09AB">
              <w:t>rs, clients or other appropriate persons</w:t>
            </w:r>
          </w:p>
        </w:tc>
      </w:tr>
      <w:tr w:rsidTr="009F7E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D09AB" w:rsidP="00CD09AB">
            <w:pPr>
              <w:pStyle w:val="BodyText"/>
            </w:pPr>
          </w:p>
        </w:tc>
      </w:tr>
    </w:tbl>
    <w:p w:rsidR="009F7EA2" w:rsidP="00CD09AB">
      <w:pPr>
        <w:pStyle w:val="BodyText"/>
      </w:pPr>
    </w:p>
    <w:p w:rsidR="009F7EA2" w:rsidP="00CD09AB">
      <w:pPr>
        <w:pStyle w:val="BodyText"/>
      </w:pPr>
    </w:p>
    <w:p w:rsidR="00000000" w:rsidRPr="00CD09AB" w:rsidP="00CD09AB">
      <w:pPr>
        <w:pStyle w:val="Heading1"/>
      </w:pPr>
      <w:bookmarkStart w:id="11" w:name="O_250065"/>
      <w:bookmarkEnd w:id="11"/>
      <w:r w:rsidRPr="00CD09AB">
        <w:t>Range Statement</w:t>
      </w:r>
    </w:p>
    <w:tbl>
      <w:tblPr>
        <w:tblW w:w="0" w:type="auto"/>
        <w:tblLayout w:type="fixed"/>
        <w:tblCellMar>
          <w:left w:w="62" w:type="dxa"/>
          <w:right w:w="62" w:type="dxa"/>
        </w:tblCellMar>
        <w:tblLook w:val="0000"/>
      </w:tblPr>
      <w:tblGrid>
        <w:gridCol w:w="3402"/>
        <w:gridCol w:w="5670"/>
      </w:tblGrid>
      <w:tr w:rsidTr="009F7EA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D09AB">
            <w:pPr>
              <w:pStyle w:val="BodyText"/>
              <w:rPr>
                <w:lang w:val="en-NZ"/>
              </w:rPr>
            </w:pPr>
            <w:r w:rsidRPr="00CD09AB">
              <w:rPr>
                <w:rStyle w:val="SpecialBold"/>
              </w:rPr>
              <w:t>RANGE STATEMENT</w:t>
            </w:r>
          </w:p>
        </w:tc>
      </w:tr>
      <w:tr w:rsidTr="009F7E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D09AB">
            <w:pPr>
              <w:pStyle w:val="BodyText"/>
              <w:rPr>
                <w:lang w:val="en-NZ"/>
              </w:rPr>
            </w:pPr>
          </w:p>
        </w:tc>
      </w:tr>
      <w:tr w:rsidTr="009F7E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D09AB">
            <w:pPr>
              <w:pStyle w:val="BodyText"/>
              <w:rPr>
                <w:lang w:val="en-NZ"/>
              </w:rPr>
            </w:pPr>
            <w:r w:rsidRPr="00CD09AB">
              <w:t xml:space="preserve">The Range Statement relates to the unit of competency as a whole. It allows for different work environments and situations that may affect </w:t>
            </w:r>
            <w:r w:rsidRPr="00CD09AB">
              <w:t>performance. Add any essential operating conditions that may be present with training and assessment depending on the work situation, needs of the candidate, accessibility of the item, and local industry and regional contexts.</w:t>
            </w:r>
          </w:p>
        </w:tc>
      </w:tr>
      <w:tr w:rsidTr="009F7E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09AB">
            <w:pPr>
              <w:pStyle w:val="BodyText"/>
              <w:rPr>
                <w:lang w:val="en-NZ"/>
              </w:rPr>
            </w:pPr>
          </w:p>
        </w:tc>
      </w:tr>
      <w:tr w:rsidTr="009F7E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09AB">
            <w:pPr>
              <w:pStyle w:val="BodyText"/>
              <w:rPr>
                <w:lang w:val="en-NZ"/>
              </w:rPr>
            </w:pPr>
            <w:r w:rsidRPr="00CD09AB">
              <w:rPr>
                <w:rStyle w:val="Emphasis"/>
              </w:rPr>
              <w:t>Diversity of young people includes</w:t>
            </w:r>
            <w:r w:rsidRPr="00CD09AB">
              <w:t>:</w:t>
            </w:r>
          </w:p>
        </w:tc>
        <w:tc>
          <w:tcPr>
            <w:tcW w:w="5670" w:type="dxa"/>
            <w:tcBorders>
              <w:top w:val="nil"/>
              <w:left w:val="nil"/>
              <w:bottom w:val="nil"/>
              <w:right w:val="nil"/>
            </w:tcBorders>
            <w:tcMar>
              <w:top w:w="0" w:type="dxa"/>
              <w:left w:w="62" w:type="dxa"/>
              <w:bottom w:w="0" w:type="dxa"/>
              <w:right w:w="62" w:type="dxa"/>
            </w:tcMar>
          </w:tcPr>
          <w:p w:rsidR="00000000" w:rsidRPr="00CD09AB" w:rsidP="00CD09AB">
            <w:pPr>
              <w:pStyle w:val="ListBullet"/>
            </w:pPr>
            <w:r w:rsidRPr="00CD09AB">
              <w:t>Aboriginal and/or Torres Strait Islander young people</w:t>
            </w:r>
          </w:p>
          <w:p w:rsidR="00000000" w:rsidRPr="00CD09AB" w:rsidP="00CD09AB">
            <w:pPr>
              <w:pStyle w:val="ListBullet"/>
            </w:pPr>
            <w:r w:rsidRPr="00CD09AB">
              <w:t>Culturally and linguistically diverse young people</w:t>
            </w:r>
          </w:p>
          <w:p w:rsidR="00000000" w:rsidRPr="00CD09AB" w:rsidP="00CD09AB">
            <w:pPr>
              <w:pStyle w:val="ListBullet"/>
            </w:pPr>
            <w:r w:rsidRPr="00CD09AB">
              <w:t>Cultures associated with differing socioeconomic backgrounds</w:t>
            </w:r>
          </w:p>
          <w:p w:rsidR="00000000" w:rsidRPr="00CD09AB" w:rsidP="00CD09AB">
            <w:pPr>
              <w:pStyle w:val="ListBullet"/>
            </w:pPr>
            <w:r w:rsidRPr="00CD09AB">
              <w:t>Diverse family experiences and family of origin</w:t>
            </w:r>
          </w:p>
          <w:p w:rsidR="00000000" w:rsidRPr="00CD09AB" w:rsidP="00CD09AB">
            <w:pPr>
              <w:pStyle w:val="ListBullet"/>
            </w:pPr>
            <w:r w:rsidRPr="00CD09AB">
              <w:t>Diver</w:t>
            </w:r>
            <w:r w:rsidRPr="00CD09AB">
              <w:t>se sexualities - heterosexual, bisexual, gay and lesbian</w:t>
            </w:r>
          </w:p>
          <w:p w:rsidR="00000000" w:rsidRPr="00CD09AB" w:rsidP="00CD09AB">
            <w:pPr>
              <w:pStyle w:val="ListBullet"/>
            </w:pPr>
            <w:r w:rsidRPr="00CD09AB">
              <w:t>Gender differences - young women, young men, transgender young people</w:t>
            </w:r>
          </w:p>
          <w:p w:rsidR="00000000" w:rsidRPr="00CD09AB" w:rsidP="00CD09AB">
            <w:pPr>
              <w:pStyle w:val="ListBullet"/>
            </w:pPr>
            <w:r w:rsidRPr="00CD09AB">
              <w:t>Young migrants, refugees and asylum seekers</w:t>
            </w:r>
          </w:p>
          <w:p w:rsidR="00000000" w:rsidRPr="00CD09AB" w:rsidP="00CD09AB">
            <w:pPr>
              <w:pStyle w:val="ListBullet"/>
            </w:pPr>
            <w:r w:rsidRPr="00CD09AB">
              <w:t>Young people  from diverse geographical locations, urban, suburban, rural, remote, re</w:t>
            </w:r>
            <w:r w:rsidRPr="00CD09AB">
              <w:t>gional, transient</w:t>
            </w:r>
          </w:p>
          <w:p w:rsidR="00000000" w:rsidRPr="00CD09AB" w:rsidP="00CD09AB">
            <w:pPr>
              <w:pStyle w:val="ListBullet"/>
            </w:pPr>
            <w:r w:rsidRPr="00CD09AB">
              <w:t>Young people from diverse youth cultures, and sub cultures</w:t>
            </w:r>
          </w:p>
          <w:p w:rsidR="00000000" w:rsidRPr="00CD09AB" w:rsidP="00CD09AB">
            <w:pPr>
              <w:pStyle w:val="ListBullet"/>
            </w:pPr>
            <w:r w:rsidRPr="00CD09AB">
              <w:t>Young people with a disability</w:t>
            </w:r>
          </w:p>
          <w:p w:rsidR="00000000" w:rsidP="00CD09AB">
            <w:pPr>
              <w:pStyle w:val="ListBullet"/>
              <w:rPr>
                <w:lang w:val="en-NZ"/>
              </w:rPr>
            </w:pPr>
            <w:r w:rsidRPr="00CD09AB">
              <w:t>Young people with diminished health status</w:t>
            </w:r>
          </w:p>
        </w:tc>
      </w:tr>
      <w:tr w:rsidTr="009F7E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09AB">
            <w:pPr>
              <w:pStyle w:val="BodyText"/>
              <w:rPr>
                <w:lang w:val="en-NZ"/>
              </w:rPr>
            </w:pPr>
          </w:p>
        </w:tc>
      </w:tr>
      <w:tr w:rsidTr="009F7E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09AB">
            <w:pPr>
              <w:pStyle w:val="BodyText"/>
              <w:rPr>
                <w:lang w:val="en-NZ"/>
              </w:rPr>
            </w:pPr>
            <w:r w:rsidRPr="00CD09AB">
              <w:rPr>
                <w:rStyle w:val="Emphasis"/>
              </w:rPr>
              <w:t>Appropriate communication strategies and techniques</w:t>
            </w:r>
          </w:p>
        </w:tc>
        <w:tc>
          <w:tcPr>
            <w:tcW w:w="5670" w:type="dxa"/>
            <w:tcBorders>
              <w:top w:val="nil"/>
              <w:left w:val="nil"/>
              <w:bottom w:val="nil"/>
              <w:right w:val="nil"/>
            </w:tcBorders>
            <w:tcMar>
              <w:top w:w="0" w:type="dxa"/>
              <w:left w:w="62" w:type="dxa"/>
              <w:bottom w:w="0" w:type="dxa"/>
              <w:right w:w="62" w:type="dxa"/>
            </w:tcMar>
          </w:tcPr>
          <w:p w:rsidR="00000000" w:rsidRPr="00CD09AB" w:rsidP="00CD09AB">
            <w:pPr>
              <w:pStyle w:val="ListBullet"/>
            </w:pPr>
            <w:r w:rsidRPr="00CD09AB">
              <w:t>Effective communication techniques including:</w:t>
            </w:r>
          </w:p>
          <w:p w:rsidR="00000000" w:rsidRPr="00CD09AB" w:rsidP="00CD09AB">
            <w:pPr>
              <w:pStyle w:val="ListBullet2"/>
            </w:pPr>
            <w:r w:rsidRPr="00CD09AB">
              <w:t>active listening (reflecting and questioning)</w:t>
            </w:r>
          </w:p>
          <w:p w:rsidR="00000000" w:rsidRPr="00CD09AB" w:rsidP="00CD09AB">
            <w:pPr>
              <w:pStyle w:val="ListBullet2"/>
            </w:pPr>
            <w:r w:rsidRPr="00CD09AB">
              <w:t>adaptation to purpose</w:t>
            </w:r>
          </w:p>
          <w:p w:rsidR="00000000" w:rsidRPr="00CD09AB" w:rsidP="00CD09AB">
            <w:pPr>
              <w:pStyle w:val="ListBullet2"/>
            </w:pPr>
            <w:r w:rsidRPr="00CD09AB">
              <w:t>body language</w:t>
            </w:r>
          </w:p>
          <w:p w:rsidR="00000000" w:rsidRPr="00CD09AB" w:rsidP="00CD09AB">
            <w:pPr>
              <w:pStyle w:val="ListBullet2"/>
            </w:pPr>
            <w:r w:rsidRPr="00CD09AB">
              <w:t xml:space="preserve">community languages </w:t>
            </w:r>
          </w:p>
          <w:p w:rsidR="00000000" w:rsidRPr="00CD09AB" w:rsidP="00CD09AB">
            <w:pPr>
              <w:pStyle w:val="ListBullet2"/>
            </w:pPr>
            <w:r w:rsidRPr="00CD09AB">
              <w:t>complexity of content</w:t>
            </w:r>
          </w:p>
          <w:p w:rsidR="00000000" w:rsidRPr="00CD09AB" w:rsidP="00CD09AB">
            <w:pPr>
              <w:pStyle w:val="ListBullet2"/>
            </w:pPr>
            <w:r w:rsidRPr="00CD09AB">
              <w:t>language levels and styles</w:t>
            </w:r>
          </w:p>
          <w:p w:rsidR="00000000" w:rsidRPr="00CD09AB" w:rsidP="00CD09AB">
            <w:pPr>
              <w:pStyle w:val="ListBullet2"/>
            </w:pPr>
            <w:r w:rsidRPr="00CD09AB">
              <w:t>normalising and summarising</w:t>
            </w:r>
          </w:p>
          <w:p w:rsidR="00000000" w:rsidRPr="00CD09AB" w:rsidP="00CD09AB">
            <w:pPr>
              <w:pStyle w:val="ListBullet2"/>
            </w:pPr>
            <w:r w:rsidRPr="00CD09AB">
              <w:t>physical and sensory contact</w:t>
            </w:r>
          </w:p>
          <w:p w:rsidR="00000000" w:rsidRPr="00CD09AB" w:rsidP="00CD09AB">
            <w:pPr>
              <w:pStyle w:val="ListBullet2"/>
            </w:pPr>
            <w:r w:rsidRPr="00CD09AB">
              <w:t>reframing and challenging</w:t>
            </w:r>
          </w:p>
          <w:p w:rsidR="00000000" w:rsidRPr="00CD09AB" w:rsidP="00CD09AB">
            <w:pPr>
              <w:pStyle w:val="ListBullet2"/>
            </w:pPr>
            <w:r w:rsidRPr="00CD09AB">
              <w:t>tone</w:t>
            </w:r>
          </w:p>
          <w:p w:rsidR="00000000" w:rsidRPr="00CD09AB" w:rsidP="00CD09AB">
            <w:pPr>
              <w:pStyle w:val="ListBullet"/>
            </w:pPr>
            <w:r w:rsidRPr="00CD09AB">
              <w:t xml:space="preserve">Use communication strategies that are appropriate to the young person, including: </w:t>
            </w:r>
          </w:p>
          <w:p w:rsidR="00000000" w:rsidRPr="00CD09AB" w:rsidP="00CD09AB">
            <w:pPr>
              <w:pStyle w:val="ListBullet2"/>
            </w:pPr>
            <w:r w:rsidRPr="00CD09AB">
              <w:t>access to hidden populations of young people via third party peers</w:t>
            </w:r>
          </w:p>
          <w:p w:rsidR="00000000" w:rsidRPr="00CD09AB" w:rsidP="00CD09AB">
            <w:pPr>
              <w:pStyle w:val="ListBullet2"/>
            </w:pPr>
            <w:r w:rsidRPr="00CD09AB">
              <w:t>consideration of abilities and any technical aids</w:t>
            </w:r>
          </w:p>
          <w:p w:rsidR="00000000" w:rsidRPr="00CD09AB" w:rsidP="00CD09AB">
            <w:pPr>
              <w:pStyle w:val="ListBullet2"/>
            </w:pPr>
            <w:r w:rsidRPr="00CD09AB">
              <w:t>cultural protocols, sensitivities and awareness</w:t>
            </w:r>
          </w:p>
          <w:p w:rsidR="00000000" w:rsidRPr="00CD09AB" w:rsidP="00CD09AB">
            <w:pPr>
              <w:pStyle w:val="ListBullet2"/>
            </w:pPr>
            <w:r w:rsidRPr="00CD09AB">
              <w:t>gesture</w:t>
            </w:r>
            <w:r w:rsidRPr="00CD09AB">
              <w:t>s</w:t>
            </w:r>
          </w:p>
          <w:p w:rsidR="00000000" w:rsidRPr="00CD09AB" w:rsidP="00CD09AB">
            <w:pPr>
              <w:pStyle w:val="ListBullet2"/>
            </w:pPr>
            <w:r w:rsidRPr="00CD09AB">
              <w:t>interpreters</w:t>
            </w:r>
          </w:p>
          <w:p w:rsidR="00000000" w:rsidRPr="00CD09AB" w:rsidP="00CD09AB">
            <w:pPr>
              <w:pStyle w:val="ListBullet2"/>
            </w:pPr>
            <w:r w:rsidRPr="00CD09AB">
              <w:t>language</w:t>
            </w:r>
          </w:p>
          <w:p w:rsidR="00000000" w:rsidRPr="00CD09AB" w:rsidP="00CD09AB">
            <w:pPr>
              <w:pStyle w:val="ListBullet2"/>
            </w:pPr>
            <w:r w:rsidRPr="00CD09AB">
              <w:t>location and proximity</w:t>
            </w:r>
          </w:p>
          <w:p w:rsidR="00000000" w:rsidRPr="00CD09AB" w:rsidP="00CD09AB">
            <w:pPr>
              <w:pStyle w:val="ListBullet2"/>
            </w:pPr>
            <w:r w:rsidRPr="00CD09AB">
              <w:t>relevant content</w:t>
            </w:r>
          </w:p>
          <w:p w:rsidR="00000000" w:rsidRPr="00CD09AB" w:rsidP="00CD09AB">
            <w:pPr>
              <w:pStyle w:val="ListBullet2"/>
            </w:pPr>
            <w:r w:rsidRPr="00CD09AB">
              <w:t>signed</w:t>
            </w:r>
          </w:p>
          <w:p w:rsidR="00000000" w:rsidP="00CD09AB">
            <w:pPr>
              <w:pStyle w:val="ListBullet2"/>
              <w:rPr>
                <w:lang w:val="en-NZ"/>
              </w:rPr>
            </w:pPr>
            <w:r w:rsidRPr="00CD09AB">
              <w:t>visual</w:t>
            </w:r>
          </w:p>
        </w:tc>
      </w:tr>
      <w:tr w:rsidTr="009F7E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09AB">
            <w:pPr>
              <w:pStyle w:val="BodyText"/>
              <w:rPr>
                <w:lang w:val="en-NZ"/>
              </w:rPr>
            </w:pPr>
          </w:p>
        </w:tc>
      </w:tr>
      <w:tr w:rsidTr="009F7E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09AB">
            <w:pPr>
              <w:pStyle w:val="BodyText"/>
              <w:rPr>
                <w:lang w:val="en-NZ"/>
              </w:rPr>
            </w:pPr>
            <w:r w:rsidRPr="00CD09AB">
              <w:rPr>
                <w:rStyle w:val="Emphasis"/>
              </w:rPr>
              <w:t>Youth culture and sub cultures include</w:t>
            </w:r>
            <w:r w:rsidRPr="00CD09AB">
              <w:t>:</w:t>
            </w:r>
          </w:p>
        </w:tc>
        <w:tc>
          <w:tcPr>
            <w:tcW w:w="5670" w:type="dxa"/>
            <w:tcBorders>
              <w:top w:val="nil"/>
              <w:left w:val="nil"/>
              <w:bottom w:val="nil"/>
              <w:right w:val="nil"/>
            </w:tcBorders>
            <w:tcMar>
              <w:top w:w="0" w:type="dxa"/>
              <w:left w:w="62" w:type="dxa"/>
              <w:bottom w:w="0" w:type="dxa"/>
              <w:right w:w="62" w:type="dxa"/>
            </w:tcMar>
          </w:tcPr>
          <w:p w:rsidR="00000000" w:rsidRPr="00CD09AB" w:rsidP="00CD09AB">
            <w:pPr>
              <w:pStyle w:val="ListBullet"/>
            </w:pPr>
            <w:r w:rsidRPr="00CD09AB">
              <w:t>As defined by the groups of young people with whom worker has contact and can include:</w:t>
            </w:r>
          </w:p>
          <w:p w:rsidR="00000000" w:rsidRPr="00CD09AB" w:rsidP="00CD09AB">
            <w:pPr>
              <w:pStyle w:val="ListBullet2"/>
            </w:pPr>
            <w:r w:rsidRPr="00CD09AB">
              <w:t>shared experiences within ethnicity based groups</w:t>
            </w:r>
          </w:p>
          <w:p w:rsidR="00000000" w:rsidRPr="00CD09AB" w:rsidP="00CD09AB">
            <w:pPr>
              <w:pStyle w:val="ListBullet2"/>
            </w:pPr>
            <w:r w:rsidRPr="00CD09AB">
              <w:t>shared interest and ideologies</w:t>
            </w:r>
          </w:p>
          <w:p w:rsidR="00000000" w:rsidRPr="00CD09AB" w:rsidP="00CD09AB">
            <w:pPr>
              <w:pStyle w:val="ListBullet2"/>
            </w:pPr>
            <w:r w:rsidRPr="00CD09AB">
              <w:t>shared social practices and rituals, religion and spirituality</w:t>
            </w:r>
          </w:p>
          <w:p w:rsidR="00000000" w:rsidRPr="00CD09AB" w:rsidP="00CD09AB">
            <w:pPr>
              <w:pStyle w:val="ListBullet2"/>
            </w:pPr>
            <w:r w:rsidRPr="00CD09AB">
              <w:t>other</w:t>
            </w:r>
          </w:p>
          <w:p w:rsidR="00000000" w:rsidP="00CD09AB">
            <w:pPr>
              <w:pStyle w:val="ListBullet"/>
              <w:rPr>
                <w:lang w:val="en-NZ"/>
              </w:rPr>
            </w:pPr>
            <w:r w:rsidRPr="00CD09AB">
              <w:t>Value the importance youth cultures challenge and promote change to broader community</w:t>
            </w:r>
          </w:p>
        </w:tc>
      </w:tr>
      <w:tr w:rsidTr="009F7E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09AB">
            <w:pPr>
              <w:pStyle w:val="BodyText"/>
              <w:rPr>
                <w:lang w:val="en-NZ"/>
              </w:rPr>
            </w:pPr>
          </w:p>
        </w:tc>
      </w:tr>
      <w:tr w:rsidTr="009F7E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09AB">
            <w:pPr>
              <w:pStyle w:val="BodyText"/>
              <w:rPr>
                <w:lang w:val="en-NZ"/>
              </w:rPr>
            </w:pPr>
            <w:r w:rsidRPr="00CD09AB">
              <w:rPr>
                <w:rStyle w:val="Emphasis"/>
              </w:rPr>
              <w:t>Development of the young person may include</w:t>
            </w:r>
            <w:r w:rsidRPr="00CD09AB">
              <w:t>:</w:t>
            </w:r>
          </w:p>
        </w:tc>
        <w:tc>
          <w:tcPr>
            <w:tcW w:w="5670" w:type="dxa"/>
            <w:tcBorders>
              <w:top w:val="nil"/>
              <w:left w:val="nil"/>
              <w:bottom w:val="nil"/>
              <w:right w:val="nil"/>
            </w:tcBorders>
            <w:tcMar>
              <w:top w:w="0" w:type="dxa"/>
              <w:left w:w="62" w:type="dxa"/>
              <w:bottom w:w="0" w:type="dxa"/>
              <w:right w:w="62" w:type="dxa"/>
            </w:tcMar>
          </w:tcPr>
          <w:p w:rsidR="00000000" w:rsidRPr="00CD09AB" w:rsidP="00CD09AB">
            <w:pPr>
              <w:pStyle w:val="ListBullet"/>
            </w:pPr>
            <w:r w:rsidRPr="00CD09AB">
              <w:t>Core themes could include:</w:t>
            </w:r>
          </w:p>
          <w:p w:rsidR="00000000" w:rsidRPr="00CD09AB" w:rsidP="00CD09AB">
            <w:pPr>
              <w:pStyle w:val="ListBullet2"/>
            </w:pPr>
            <w:r w:rsidRPr="00CD09AB">
              <w:t>autonomy and agency</w:t>
            </w:r>
          </w:p>
          <w:p w:rsidR="00000000" w:rsidRPr="00CD09AB" w:rsidP="00CD09AB">
            <w:pPr>
              <w:pStyle w:val="ListBullet2"/>
            </w:pPr>
            <w:r w:rsidRPr="00CD09AB">
              <w:t>experimentation and risk taking behaviour</w:t>
            </w:r>
          </w:p>
          <w:p w:rsidR="00000000" w:rsidRPr="00CD09AB" w:rsidP="00CD09AB">
            <w:pPr>
              <w:pStyle w:val="ListBullet2"/>
            </w:pPr>
            <w:r w:rsidRPr="00CD09AB">
              <w:t>identity</w:t>
            </w:r>
          </w:p>
          <w:p w:rsidR="00000000" w:rsidRPr="00CD09AB" w:rsidP="00CD09AB">
            <w:pPr>
              <w:pStyle w:val="ListBullet2"/>
            </w:pPr>
            <w:r w:rsidRPr="00CD09AB">
              <w:t>interests, different personalities and abilities</w:t>
            </w:r>
          </w:p>
          <w:p w:rsidR="00000000" w:rsidRPr="00CD09AB" w:rsidP="00CD09AB">
            <w:pPr>
              <w:pStyle w:val="ListBullet2"/>
            </w:pPr>
            <w:r w:rsidRPr="00CD09AB">
              <w:t>personal and collective meaning</w:t>
            </w:r>
          </w:p>
          <w:p w:rsidR="00000000" w:rsidRPr="00CD09AB" w:rsidP="00CD09AB">
            <w:pPr>
              <w:pStyle w:val="ListBullet2"/>
            </w:pPr>
            <w:r w:rsidRPr="00CD09AB">
              <w:t>sexuality</w:t>
            </w:r>
          </w:p>
          <w:p w:rsidR="00000000" w:rsidRPr="00CD09AB" w:rsidP="00CD09AB">
            <w:pPr>
              <w:pStyle w:val="ListBullet2"/>
            </w:pPr>
            <w:r w:rsidRPr="00CD09AB">
              <w:t>supportive networks, friendships, family and other</w:t>
            </w:r>
          </w:p>
          <w:p w:rsidR="00000000" w:rsidRPr="00CD09AB" w:rsidP="00CD09AB">
            <w:pPr>
              <w:pStyle w:val="ListBullet"/>
            </w:pPr>
            <w:r w:rsidRPr="00CD09AB">
              <w:t xml:space="preserve">Physical development </w:t>
            </w:r>
          </w:p>
          <w:p w:rsidR="00000000" w:rsidP="00CD09AB">
            <w:pPr>
              <w:pStyle w:val="ListBullet"/>
              <w:rPr>
                <w:lang w:val="en-NZ"/>
              </w:rPr>
            </w:pPr>
            <w:r w:rsidRPr="00CD09AB">
              <w:t>Psychological and emotional development</w:t>
            </w:r>
          </w:p>
        </w:tc>
      </w:tr>
      <w:tr w:rsidTr="009F7E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09AB">
            <w:pPr>
              <w:pStyle w:val="BodyText"/>
              <w:rPr>
                <w:lang w:val="en-NZ"/>
              </w:rPr>
            </w:pPr>
          </w:p>
        </w:tc>
      </w:tr>
      <w:tr w:rsidTr="009F7E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09AB">
            <w:pPr>
              <w:pStyle w:val="BodyText"/>
              <w:rPr>
                <w:lang w:val="en-NZ"/>
              </w:rPr>
            </w:pPr>
            <w:r w:rsidRPr="00CD09AB">
              <w:rPr>
                <w:rStyle w:val="Emphasis"/>
              </w:rPr>
              <w:t>Activities and resources to promote diversity include</w:t>
            </w:r>
            <w:r w:rsidRPr="00CD09AB">
              <w:t>:</w:t>
            </w:r>
          </w:p>
        </w:tc>
        <w:tc>
          <w:tcPr>
            <w:tcW w:w="5670" w:type="dxa"/>
            <w:tcBorders>
              <w:top w:val="nil"/>
              <w:left w:val="nil"/>
              <w:bottom w:val="nil"/>
              <w:right w:val="nil"/>
            </w:tcBorders>
            <w:tcMar>
              <w:top w:w="0" w:type="dxa"/>
              <w:left w:w="62" w:type="dxa"/>
              <w:bottom w:w="0" w:type="dxa"/>
              <w:right w:w="62" w:type="dxa"/>
            </w:tcMar>
          </w:tcPr>
          <w:p w:rsidR="00000000" w:rsidRPr="00CD09AB" w:rsidP="00CD09AB">
            <w:pPr>
              <w:pStyle w:val="ListBullet"/>
            </w:pPr>
            <w:r w:rsidRPr="00CD09AB">
              <w:t>Avoid stereotypes and generalisations about young people</w:t>
            </w:r>
          </w:p>
          <w:p w:rsidR="00000000" w:rsidRPr="00CD09AB" w:rsidP="00CD09AB">
            <w:pPr>
              <w:pStyle w:val="ListBullet"/>
            </w:pPr>
            <w:r w:rsidRPr="00CD09AB">
              <w:t>Challenging assumptions of existing world views e.g. hetero-sexism, racism</w:t>
            </w:r>
          </w:p>
          <w:p w:rsidR="00000000" w:rsidRPr="00CD09AB" w:rsidP="00CD09AB">
            <w:pPr>
              <w:pStyle w:val="ListBullet"/>
            </w:pPr>
            <w:r w:rsidRPr="00CD09AB">
              <w:t>Enjoyment of young people and a genuine commitment to the well being and value of young people in the community</w:t>
            </w:r>
          </w:p>
          <w:p w:rsidR="00000000" w:rsidRPr="00CD09AB" w:rsidP="00CD09AB">
            <w:pPr>
              <w:pStyle w:val="ListBullet"/>
            </w:pPr>
            <w:r w:rsidRPr="00CD09AB">
              <w:t xml:space="preserve">Establish welcoming and inclusive youth spaces, work environment and </w:t>
            </w:r>
            <w:r w:rsidRPr="00CD09AB">
              <w:t>community settings</w:t>
            </w:r>
          </w:p>
          <w:p w:rsidR="00000000" w:rsidRPr="00CD09AB" w:rsidP="00CD09AB">
            <w:pPr>
              <w:pStyle w:val="ListBullet"/>
            </w:pPr>
            <w:r w:rsidRPr="00CD09AB">
              <w:t>Inclusive attitudes and behaviours of staff and volunteers</w:t>
            </w:r>
          </w:p>
          <w:p w:rsidR="00000000" w:rsidRPr="00CD09AB" w:rsidP="00CD09AB">
            <w:pPr>
              <w:pStyle w:val="ListBullet"/>
            </w:pPr>
            <w:r w:rsidRPr="00CD09AB">
              <w:t>Inclusive organisation policies that promote cultural competence, inclusion and anti-discrimination</w:t>
            </w:r>
          </w:p>
          <w:p w:rsidR="00000000" w:rsidRPr="00CD09AB" w:rsidP="00CD09AB">
            <w:pPr>
              <w:pStyle w:val="ListBullet"/>
            </w:pPr>
            <w:r w:rsidRPr="00CD09AB">
              <w:t>Not under-estimating or over-estimating young people</w:t>
            </w:r>
          </w:p>
          <w:p w:rsidR="00000000" w:rsidRPr="00CD09AB" w:rsidP="00CD09AB">
            <w:pPr>
              <w:pStyle w:val="ListBullet"/>
            </w:pPr>
            <w:r w:rsidRPr="00CD09AB">
              <w:t>Promote positive images t</w:t>
            </w:r>
            <w:r w:rsidRPr="00CD09AB">
              <w:t>hat represent diversity in work practices e.g. printed resources, art works, posters etc</w:t>
            </w:r>
          </w:p>
          <w:p w:rsidR="00000000" w:rsidRPr="00CD09AB" w:rsidP="00CD09AB">
            <w:pPr>
              <w:pStyle w:val="ListBullet"/>
            </w:pPr>
            <w:r w:rsidRPr="00CD09AB">
              <w:t>Where appropriate seek to understand and challenge discriminatory behaviours and attitudes of young people and other key stakeholders</w:t>
            </w:r>
          </w:p>
          <w:p w:rsidR="00000000" w:rsidP="00CD09AB">
            <w:pPr>
              <w:pStyle w:val="ListBullet"/>
              <w:rPr>
                <w:lang w:val="en-NZ"/>
              </w:rPr>
            </w:pPr>
            <w:r w:rsidRPr="00CD09AB">
              <w:t>Work creatively to celebrate dive</w:t>
            </w:r>
            <w:r w:rsidRPr="00CD09AB">
              <w:t>rsity</w:t>
            </w:r>
          </w:p>
        </w:tc>
      </w:tr>
      <w:tr w:rsidTr="009F7E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09AB">
            <w:pPr>
              <w:pStyle w:val="BodyText"/>
              <w:rPr>
                <w:lang w:val="en-NZ"/>
              </w:rPr>
            </w:pPr>
          </w:p>
        </w:tc>
      </w:tr>
      <w:tr w:rsidTr="009F7E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09AB">
            <w:pPr>
              <w:pStyle w:val="BodyText"/>
              <w:rPr>
                <w:lang w:val="en-NZ"/>
              </w:rPr>
            </w:pPr>
            <w:r w:rsidRPr="00CD09AB">
              <w:rPr>
                <w:rStyle w:val="Emphasis"/>
              </w:rPr>
              <w:t>Youth centred practices include</w:t>
            </w:r>
            <w:r w:rsidRPr="00CD09AB">
              <w:t>:</w:t>
            </w:r>
          </w:p>
        </w:tc>
        <w:tc>
          <w:tcPr>
            <w:tcW w:w="5670" w:type="dxa"/>
            <w:tcBorders>
              <w:top w:val="nil"/>
              <w:left w:val="nil"/>
              <w:bottom w:val="nil"/>
              <w:right w:val="nil"/>
            </w:tcBorders>
            <w:tcMar>
              <w:top w:w="0" w:type="dxa"/>
              <w:left w:w="62" w:type="dxa"/>
              <w:bottom w:w="0" w:type="dxa"/>
              <w:right w:w="62" w:type="dxa"/>
            </w:tcMar>
          </w:tcPr>
          <w:p w:rsidR="00000000" w:rsidRPr="00CD09AB" w:rsidP="00CD09AB">
            <w:pPr>
              <w:pStyle w:val="ListBullet"/>
            </w:pPr>
            <w:r w:rsidRPr="00CD09AB">
              <w:t>Always seek to engage with young people to hear and understand their perspective in all issues related to them</w:t>
            </w:r>
          </w:p>
          <w:p w:rsidR="00000000" w:rsidRPr="00CD09AB" w:rsidP="00CD09AB">
            <w:pPr>
              <w:pStyle w:val="ListBullet"/>
            </w:pPr>
            <w:r w:rsidRPr="00CD09AB">
              <w:t>Commitment to the young person as primary client and all other stakeholders as secondary</w:t>
            </w:r>
          </w:p>
          <w:p w:rsidR="00000000" w:rsidRPr="00CD09AB" w:rsidP="00CD09AB">
            <w:pPr>
              <w:pStyle w:val="ListBullet"/>
            </w:pPr>
            <w:r w:rsidRPr="00CD09AB">
              <w:t>Consideration of the young person and the ir experiences as unique</w:t>
            </w:r>
          </w:p>
          <w:p w:rsidR="00000000" w:rsidP="00CD09AB">
            <w:pPr>
              <w:pStyle w:val="ListBullet"/>
              <w:rPr>
                <w:lang w:val="en-NZ"/>
              </w:rPr>
            </w:pPr>
            <w:r w:rsidRPr="00CD09AB">
              <w:t>Prioritise the young person's experiences, goals and concerns in all work practices</w:t>
            </w:r>
          </w:p>
        </w:tc>
      </w:tr>
      <w:tr w:rsidTr="009F7E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09AB">
            <w:pPr>
              <w:pStyle w:val="BodyText"/>
              <w:rPr>
                <w:lang w:val="en-NZ"/>
              </w:rPr>
            </w:pPr>
          </w:p>
        </w:tc>
      </w:tr>
      <w:tr w:rsidTr="009F7E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09AB">
            <w:pPr>
              <w:pStyle w:val="BodyText"/>
              <w:rPr>
                <w:lang w:val="en-NZ"/>
              </w:rPr>
            </w:pPr>
            <w:r w:rsidRPr="00CD09AB">
              <w:rPr>
                <w:rStyle w:val="Emphasis"/>
              </w:rPr>
              <w:t>Work with the young person may include</w:t>
            </w:r>
            <w:r w:rsidRPr="00CD09AB">
              <w:t>:</w:t>
            </w:r>
          </w:p>
        </w:tc>
        <w:tc>
          <w:tcPr>
            <w:tcW w:w="5670" w:type="dxa"/>
            <w:tcBorders>
              <w:top w:val="nil"/>
              <w:left w:val="nil"/>
              <w:bottom w:val="nil"/>
              <w:right w:val="nil"/>
            </w:tcBorders>
            <w:tcMar>
              <w:top w:w="0" w:type="dxa"/>
              <w:left w:w="62" w:type="dxa"/>
              <w:bottom w:w="0" w:type="dxa"/>
              <w:right w:w="62" w:type="dxa"/>
            </w:tcMar>
          </w:tcPr>
          <w:p w:rsidR="00000000" w:rsidRPr="00CD09AB" w:rsidP="00CD09AB">
            <w:pPr>
              <w:pStyle w:val="ListBullet"/>
            </w:pPr>
            <w:r w:rsidRPr="00CD09AB">
              <w:t>Community education with young people</w:t>
            </w:r>
          </w:p>
          <w:p w:rsidR="00000000" w:rsidRPr="00CD09AB" w:rsidP="00CD09AB">
            <w:pPr>
              <w:pStyle w:val="ListBullet"/>
            </w:pPr>
            <w:r w:rsidRPr="00CD09AB">
              <w:t>Community work with yo</w:t>
            </w:r>
            <w:r w:rsidRPr="00CD09AB">
              <w:t>ung people</w:t>
            </w:r>
          </w:p>
          <w:p w:rsidR="00000000" w:rsidRPr="00CD09AB" w:rsidP="00CD09AB">
            <w:pPr>
              <w:pStyle w:val="ListBullet"/>
            </w:pPr>
            <w:r w:rsidRPr="00CD09AB">
              <w:t>Education support work</w:t>
            </w:r>
          </w:p>
          <w:p w:rsidR="00000000" w:rsidRPr="00CD09AB" w:rsidP="00CD09AB">
            <w:pPr>
              <w:pStyle w:val="ListBullet"/>
            </w:pPr>
            <w:r w:rsidRPr="00CD09AB">
              <w:t>Group work with young people</w:t>
            </w:r>
          </w:p>
          <w:p w:rsidR="00000000" w:rsidP="00CD09AB">
            <w:pPr>
              <w:pStyle w:val="ListBullet"/>
              <w:rPr>
                <w:lang w:val="en-NZ"/>
              </w:rPr>
            </w:pPr>
            <w:r w:rsidRPr="00CD09AB">
              <w:t>Individual youth work</w:t>
            </w:r>
          </w:p>
        </w:tc>
      </w:tr>
      <w:tr w:rsidTr="009F7E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09AB">
            <w:pPr>
              <w:pStyle w:val="BodyText"/>
              <w:rPr>
                <w:lang w:val="en-NZ"/>
              </w:rPr>
            </w:pPr>
          </w:p>
        </w:tc>
      </w:tr>
      <w:tr w:rsidTr="009F7E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09AB">
            <w:pPr>
              <w:pStyle w:val="BodyText"/>
              <w:rPr>
                <w:lang w:val="en-NZ"/>
              </w:rPr>
            </w:pPr>
            <w:r w:rsidRPr="00CD09AB">
              <w:rPr>
                <w:rStyle w:val="Emphasis"/>
              </w:rPr>
              <w:t>Power inequities in the professional relationship may include</w:t>
            </w:r>
            <w:r w:rsidRPr="00CD09AB">
              <w:t>:</w:t>
            </w:r>
          </w:p>
        </w:tc>
        <w:tc>
          <w:tcPr>
            <w:tcW w:w="5670" w:type="dxa"/>
            <w:tcBorders>
              <w:top w:val="nil"/>
              <w:left w:val="nil"/>
              <w:bottom w:val="nil"/>
              <w:right w:val="nil"/>
            </w:tcBorders>
            <w:tcMar>
              <w:top w:w="0" w:type="dxa"/>
              <w:left w:w="62" w:type="dxa"/>
              <w:bottom w:w="0" w:type="dxa"/>
              <w:right w:w="62" w:type="dxa"/>
            </w:tcMar>
          </w:tcPr>
          <w:p w:rsidR="00000000" w:rsidRPr="00CD09AB" w:rsidP="00CD09AB">
            <w:pPr>
              <w:pStyle w:val="ListBullet"/>
            </w:pPr>
            <w:r w:rsidRPr="00CD09AB">
              <w:t>Age and physical appearance</w:t>
            </w:r>
          </w:p>
          <w:p w:rsidR="00000000" w:rsidRPr="00CD09AB" w:rsidP="00CD09AB">
            <w:pPr>
              <w:pStyle w:val="ListBullet"/>
            </w:pPr>
            <w:r w:rsidRPr="00CD09AB">
              <w:t>Authoritative positioning</w:t>
            </w:r>
          </w:p>
          <w:p w:rsidR="00000000" w:rsidRPr="00CD09AB" w:rsidP="00CD09AB">
            <w:pPr>
              <w:pStyle w:val="ListBullet"/>
            </w:pPr>
            <w:r w:rsidRPr="00CD09AB">
              <w:t>Developmental imbalances</w:t>
            </w:r>
          </w:p>
          <w:p w:rsidR="00000000" w:rsidRPr="00CD09AB" w:rsidP="00CD09AB">
            <w:pPr>
              <w:pStyle w:val="ListBullet"/>
            </w:pPr>
            <w:r w:rsidRPr="00CD09AB">
              <w:t>Economic disadvantage</w:t>
            </w:r>
          </w:p>
          <w:p w:rsidR="00000000" w:rsidRPr="00CD09AB" w:rsidP="00CD09AB">
            <w:pPr>
              <w:pStyle w:val="ListBullet"/>
            </w:pPr>
            <w:r w:rsidRPr="00CD09AB">
              <w:t>Information and life skills</w:t>
            </w:r>
          </w:p>
          <w:p w:rsidR="00000000" w:rsidRPr="00CD09AB" w:rsidP="00CD09AB">
            <w:pPr>
              <w:pStyle w:val="ListBullet"/>
            </w:pPr>
            <w:r w:rsidRPr="00CD09AB">
              <w:t>Perceived or real power differentiation</w:t>
            </w:r>
          </w:p>
          <w:p w:rsidR="00000000" w:rsidP="00CD09AB">
            <w:pPr>
              <w:pStyle w:val="ListBullet"/>
              <w:rPr>
                <w:lang w:val="en-NZ"/>
              </w:rPr>
            </w:pPr>
            <w:r w:rsidRPr="00CD09AB">
              <w:t>Vulnerability and experiences of the young person</w:t>
            </w:r>
          </w:p>
        </w:tc>
      </w:tr>
      <w:tr w:rsidTr="009F7E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09AB">
            <w:pPr>
              <w:pStyle w:val="BodyText"/>
              <w:rPr>
                <w:lang w:val="en-NZ"/>
              </w:rPr>
            </w:pPr>
          </w:p>
        </w:tc>
      </w:tr>
      <w:tr w:rsidTr="009F7E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09AB">
            <w:pPr>
              <w:pStyle w:val="BodyText"/>
              <w:rPr>
                <w:lang w:val="en-NZ"/>
              </w:rPr>
            </w:pPr>
            <w:r w:rsidRPr="00CD09AB">
              <w:rPr>
                <w:rStyle w:val="Emphasis"/>
              </w:rPr>
              <w:t>Principles of ethical decision</w:t>
            </w:r>
            <w:r w:rsidRPr="00CD09AB">
              <w:t>-</w:t>
            </w:r>
            <w:r w:rsidRPr="00CD09AB">
              <w:rPr>
                <w:rStyle w:val="Emphasis"/>
              </w:rPr>
              <w:t>making includes</w:t>
            </w:r>
            <w:r w:rsidRPr="00CD09AB">
              <w:t>:</w:t>
            </w:r>
          </w:p>
        </w:tc>
        <w:tc>
          <w:tcPr>
            <w:tcW w:w="5670" w:type="dxa"/>
            <w:tcBorders>
              <w:top w:val="nil"/>
              <w:left w:val="nil"/>
              <w:bottom w:val="nil"/>
              <w:right w:val="nil"/>
            </w:tcBorders>
            <w:tcMar>
              <w:top w:w="0" w:type="dxa"/>
              <w:left w:w="62" w:type="dxa"/>
              <w:bottom w:w="0" w:type="dxa"/>
              <w:right w:w="62" w:type="dxa"/>
            </w:tcMar>
          </w:tcPr>
          <w:p w:rsidR="00000000" w:rsidRPr="00CD09AB" w:rsidP="00CD09AB">
            <w:pPr>
              <w:pStyle w:val="ListBullet"/>
            </w:pPr>
            <w:r w:rsidRPr="00CD09AB">
              <w:t>Appropriate use of professional and person power</w:t>
            </w:r>
          </w:p>
          <w:p w:rsidR="00000000" w:rsidRPr="00CD09AB" w:rsidP="00CD09AB">
            <w:pPr>
              <w:pStyle w:val="ListBullet"/>
            </w:pPr>
            <w:r w:rsidRPr="00CD09AB">
              <w:t>Commitment and skills to be able to work within the organisation ideology, culture and belief system when making ethical decisions</w:t>
            </w:r>
          </w:p>
          <w:p w:rsidR="00000000" w:rsidRPr="00CD09AB" w:rsidP="00CD09AB">
            <w:pPr>
              <w:pStyle w:val="ListBullet"/>
            </w:pPr>
            <w:r w:rsidRPr="00CD09AB">
              <w:t xml:space="preserve">Identify the organisation culture and ideology </w:t>
            </w:r>
          </w:p>
          <w:p w:rsidR="00000000" w:rsidP="00CD09AB">
            <w:pPr>
              <w:pStyle w:val="ListBullet"/>
              <w:rPr>
                <w:lang w:val="en-NZ"/>
              </w:rPr>
            </w:pPr>
            <w:r w:rsidRPr="00CD09AB">
              <w:t>Recognise the impact of values and beliefs upon practice</w:t>
            </w:r>
          </w:p>
        </w:tc>
      </w:tr>
      <w:tr w:rsidTr="009F7E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D09AB" w:rsidP="00CD09AB">
            <w:pPr>
              <w:pStyle w:val="BodyText"/>
            </w:pPr>
          </w:p>
        </w:tc>
      </w:tr>
    </w:tbl>
    <w:p w:rsidR="009F7EA2" w:rsidP="00CD09AB">
      <w:pPr>
        <w:pStyle w:val="BodyText"/>
      </w:pPr>
    </w:p>
    <w:p w:rsidR="009F7EA2" w:rsidP="00CD09AB">
      <w:pPr>
        <w:pStyle w:val="BodyText"/>
      </w:pPr>
    </w:p>
    <w:p w:rsidR="00000000" w:rsidRPr="00CD09AB" w:rsidP="00CD09AB">
      <w:pPr>
        <w:pStyle w:val="Heading1"/>
      </w:pPr>
      <w:bookmarkStart w:id="12" w:name="O_294370"/>
      <w:bookmarkEnd w:id="12"/>
      <w:r w:rsidRPr="00CD09AB">
        <w:t>Unit Sector(s)</w:t>
      </w:r>
    </w:p>
    <w:p w:rsidR="00000000" w:rsidRPr="00CD09AB" w:rsidP="00CD09AB">
      <w:pPr>
        <w:pStyle w:val="BodyText"/>
      </w:pPr>
      <w:r w:rsidRPr="00CD09AB">
        <w:t>Not Applicable</w:t>
      </w:r>
    </w:p>
    <w:p w:rsidR="00000000" w:rsidRPr="00CD09AB" w:rsidP="00CD09AB"/>
    <w:sectPr w:rsidSect="00CD09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9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7EA2" w:rsidP="009F7E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9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EA2" w:rsidP="00CD09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F7EA2" w:rsidP="00CD09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F7EA2" w:rsidP="00CD09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9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7EA2" w:rsidP="009F7E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9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EA2" w:rsidP="00CD09AB">
    <w:pPr>
      <w:pStyle w:val="Header"/>
      <w:framePr w:wrap="around"/>
    </w:pPr>
    <w:r>
      <w:fldChar w:fldCharType="begin"/>
    </w:r>
    <w:r>
      <w:instrText xml:space="preserve"> TITLE   \* MERGEFORMAT </w:instrText>
    </w:r>
    <w:r>
      <w:fldChar w:fldCharType="separate"/>
    </w:r>
    <w:r>
      <w:t>CHCYTH401B Engage respectfully with young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7EA2" w:rsidP="00CD09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CEA0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DC43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68F3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9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09AB"/>
    <w:pPr>
      <w:spacing w:before="360" w:after="60"/>
      <w:outlineLvl w:val="0"/>
    </w:pPr>
    <w:rPr>
      <w:sz w:val="32"/>
    </w:rPr>
  </w:style>
  <w:style w:type="paragraph" w:styleId="Heading2">
    <w:name w:val="heading 2"/>
    <w:basedOn w:val="HeadingBase"/>
    <w:next w:val="BodyText"/>
    <w:link w:val="Heading2Char"/>
    <w:qFormat/>
    <w:rsid w:val="00CD09AB"/>
    <w:pPr>
      <w:keepLines/>
      <w:spacing w:before="240" w:after="120"/>
      <w:outlineLvl w:val="1"/>
    </w:pPr>
    <w:rPr>
      <w:sz w:val="28"/>
      <w:szCs w:val="40"/>
    </w:rPr>
  </w:style>
  <w:style w:type="paragraph" w:styleId="Heading3">
    <w:name w:val="heading 3"/>
    <w:basedOn w:val="HeadingBase"/>
    <w:next w:val="BodyText"/>
    <w:link w:val="Heading3Char"/>
    <w:qFormat/>
    <w:rsid w:val="00CD09AB"/>
    <w:pPr>
      <w:spacing w:before="180" w:after="120"/>
      <w:outlineLvl w:val="2"/>
    </w:pPr>
    <w:rPr>
      <w:spacing w:val="-10"/>
      <w:kern w:val="32"/>
    </w:rPr>
  </w:style>
  <w:style w:type="paragraph" w:styleId="Heading4">
    <w:name w:val="heading 4"/>
    <w:basedOn w:val="HeadingBase"/>
    <w:next w:val="BodyText"/>
    <w:link w:val="Heading4Char"/>
    <w:qFormat/>
    <w:rsid w:val="00CD09AB"/>
    <w:pPr>
      <w:spacing w:before="160" w:after="120"/>
      <w:outlineLvl w:val="3"/>
    </w:pPr>
    <w:rPr>
      <w:sz w:val="22"/>
    </w:rPr>
  </w:style>
  <w:style w:type="paragraph" w:styleId="Heading5">
    <w:name w:val="heading 5"/>
    <w:basedOn w:val="HeadingBase"/>
    <w:next w:val="Normal"/>
    <w:link w:val="Heading5Char"/>
    <w:qFormat/>
    <w:rsid w:val="00CD09AB"/>
    <w:pPr>
      <w:spacing w:before="80"/>
      <w:outlineLvl w:val="4"/>
    </w:pPr>
    <w:rPr>
      <w:color w:val="918585"/>
      <w:sz w:val="20"/>
    </w:rPr>
  </w:style>
  <w:style w:type="paragraph" w:styleId="Heading6">
    <w:name w:val="heading 6"/>
    <w:basedOn w:val="HeadingBase"/>
    <w:next w:val="Normal"/>
    <w:link w:val="Heading6Char"/>
    <w:qFormat/>
    <w:rsid w:val="00CD09AB"/>
    <w:pPr>
      <w:spacing w:before="60"/>
      <w:outlineLvl w:val="5"/>
    </w:pPr>
    <w:rPr>
      <w:color w:val="918585"/>
      <w:sz w:val="20"/>
    </w:rPr>
  </w:style>
  <w:style w:type="paragraph" w:styleId="Heading7">
    <w:name w:val="heading 7"/>
    <w:basedOn w:val="Normal"/>
    <w:next w:val="Normal"/>
    <w:link w:val="Heading7Char"/>
    <w:qFormat/>
    <w:rsid w:val="00CD09AB"/>
    <w:pPr>
      <w:ind w:left="720"/>
      <w:outlineLvl w:val="6"/>
    </w:pPr>
    <w:rPr>
      <w:i/>
    </w:rPr>
  </w:style>
  <w:style w:type="paragraph" w:styleId="Heading8">
    <w:name w:val="heading 8"/>
    <w:basedOn w:val="Normal"/>
    <w:next w:val="Normal"/>
    <w:link w:val="Heading8Char"/>
    <w:qFormat/>
    <w:rsid w:val="00CD09AB"/>
    <w:pPr>
      <w:ind w:left="720"/>
      <w:outlineLvl w:val="7"/>
    </w:pPr>
    <w:rPr>
      <w:i/>
    </w:rPr>
  </w:style>
  <w:style w:type="paragraph" w:styleId="Heading9">
    <w:name w:val="heading 9"/>
    <w:basedOn w:val="Normal"/>
    <w:next w:val="Normal"/>
    <w:link w:val="Heading9Char"/>
    <w:qFormat/>
    <w:rsid w:val="00CD09AB"/>
    <w:pPr>
      <w:ind w:left="720"/>
      <w:outlineLvl w:val="8"/>
    </w:pPr>
    <w:rPr>
      <w:i/>
    </w:rPr>
  </w:style>
  <w:style w:type="character" w:default="1" w:styleId="DefaultParagraphFont">
    <w:name w:val="Default Paragraph Font"/>
    <w:uiPriority w:val="1"/>
    <w:unhideWhenUsed/>
    <w:rsid w:val="00CD09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09AB"/>
  </w:style>
  <w:style w:type="character" w:customStyle="1" w:styleId="Heading1Char">
    <w:name w:val="Heading 1 Char"/>
    <w:basedOn w:val="DefaultParagraphFont"/>
    <w:link w:val="Heading1"/>
    <w:rsid w:val="00CD09AB"/>
    <w:rPr>
      <w:rFonts w:ascii="Times New Roman" w:eastAsia="Times New Roman" w:hAnsi="Times New Roman" w:cs="Times New Roman"/>
      <w:b/>
      <w:sz w:val="32"/>
      <w:szCs w:val="20"/>
      <w:lang w:eastAsia="en-US"/>
    </w:rPr>
  </w:style>
  <w:style w:type="paragraph" w:styleId="BodyText">
    <w:name w:val="Body Text"/>
    <w:basedOn w:val="Normal"/>
    <w:link w:val="BodyTextChar"/>
    <w:rsid w:val="00CD09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09AB"/>
    <w:rPr>
      <w:rFonts w:ascii="Times New Roman" w:eastAsia="Times New Roman" w:hAnsi="Times New Roman" w:cs="Times New Roman"/>
      <w:sz w:val="24"/>
      <w:lang w:val="en-US" w:eastAsia="en-US"/>
    </w:rPr>
  </w:style>
  <w:style w:type="paragraph" w:styleId="Footer">
    <w:name w:val="footer"/>
    <w:basedOn w:val="Normal"/>
    <w:link w:val="FooterChar"/>
    <w:rsid w:val="00CD09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09AB"/>
    <w:rPr>
      <w:rFonts w:ascii="Times New Roman" w:eastAsia="Times New Roman" w:hAnsi="Times New Roman" w:cs="Times New Roman"/>
      <w:sz w:val="16"/>
      <w:lang w:val="en-US" w:eastAsia="en-US"/>
    </w:rPr>
  </w:style>
  <w:style w:type="paragraph" w:styleId="List">
    <w:name w:val="List"/>
    <w:basedOn w:val="BodyText"/>
    <w:next w:val="BodyText"/>
    <w:rsid w:val="00CD09AB"/>
    <w:pPr>
      <w:tabs>
        <w:tab w:val="left" w:pos="340"/>
      </w:tabs>
      <w:spacing w:before="60" w:after="60"/>
      <w:ind w:left="340" w:hanging="340"/>
    </w:pPr>
  </w:style>
  <w:style w:type="paragraph" w:styleId="ListBullet">
    <w:name w:val="List Bullet"/>
    <w:basedOn w:val="List"/>
    <w:rsid w:val="00CD09AB"/>
    <w:pPr>
      <w:numPr>
        <w:numId w:val="13"/>
      </w:numPr>
      <w:tabs>
        <w:tab w:val="clear" w:pos="340"/>
      </w:tabs>
      <w:spacing w:before="40" w:after="40"/>
    </w:pPr>
  </w:style>
  <w:style w:type="character" w:customStyle="1" w:styleId="SpecialBold">
    <w:name w:val="Special Bold"/>
    <w:basedOn w:val="DefaultParagraphFont"/>
    <w:rsid w:val="00CD09AB"/>
    <w:rPr>
      <w:b/>
      <w:spacing w:val="0"/>
    </w:rPr>
  </w:style>
  <w:style w:type="paragraph" w:styleId="ListBullet2">
    <w:name w:val="List Bullet 2"/>
    <w:basedOn w:val="List2"/>
    <w:rsid w:val="00CD09AB"/>
    <w:pPr>
      <w:numPr>
        <w:numId w:val="14"/>
      </w:numPr>
      <w:tabs>
        <w:tab w:val="clear" w:pos="680"/>
      </w:tabs>
    </w:pPr>
  </w:style>
  <w:style w:type="paragraph" w:styleId="Header">
    <w:name w:val="header"/>
    <w:basedOn w:val="Normal"/>
    <w:link w:val="HeaderChar"/>
    <w:rsid w:val="00CD09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09A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D09AB"/>
    <w:rPr>
      <w:i/>
    </w:rPr>
  </w:style>
  <w:style w:type="paragraph" w:customStyle="1" w:styleId="SuperHeading">
    <w:name w:val="SuperHeading"/>
    <w:basedOn w:val="Normal"/>
    <w:rsid w:val="00CD09AB"/>
    <w:pPr>
      <w:spacing w:before="240" w:after="120"/>
      <w:outlineLvl w:val="0"/>
    </w:pPr>
    <w:rPr>
      <w:rFonts w:ascii="Times New Roman" w:hAnsi="Times New Roman"/>
      <w:b/>
      <w:sz w:val="28"/>
    </w:rPr>
  </w:style>
  <w:style w:type="paragraph" w:customStyle="1" w:styleId="AllowPageBreak">
    <w:name w:val="AllowPageBreak"/>
    <w:rsid w:val="00CD09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09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09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09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09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09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09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09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09AB"/>
    <w:rPr>
      <w:rFonts w:ascii="Courier New" w:eastAsia="Times New Roman" w:hAnsi="Courier New" w:cs="Times New Roman"/>
      <w:i/>
      <w:szCs w:val="20"/>
      <w:lang w:val="en-US" w:eastAsia="en-US"/>
    </w:rPr>
  </w:style>
  <w:style w:type="paragraph" w:customStyle="1" w:styleId="HeadingBase">
    <w:name w:val="Heading Base"/>
    <w:rsid w:val="00CD09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09AB"/>
    <w:pPr>
      <w:tabs>
        <w:tab w:val="right" w:leader="dot" w:pos="9072"/>
      </w:tabs>
      <w:ind w:left="567"/>
    </w:pPr>
    <w:rPr>
      <w:szCs w:val="22"/>
    </w:rPr>
  </w:style>
  <w:style w:type="paragraph" w:customStyle="1" w:styleId="TOCBase">
    <w:name w:val="TOC Base"/>
    <w:rsid w:val="00CD09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09AB"/>
    <w:pPr>
      <w:tabs>
        <w:tab w:val="right" w:leader="dot" w:pos="9072"/>
      </w:tabs>
      <w:spacing w:before="40" w:after="40"/>
      <w:ind w:left="284"/>
    </w:pPr>
    <w:rPr>
      <w:rFonts w:ascii="Times New Roman" w:hAnsi="Times New Roman"/>
    </w:rPr>
  </w:style>
  <w:style w:type="paragraph" w:styleId="TOC1">
    <w:name w:val="toc 1"/>
    <w:basedOn w:val="TOCBase"/>
    <w:next w:val="Normal"/>
    <w:rsid w:val="00CD09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09AB"/>
    <w:pPr>
      <w:spacing w:before="5040"/>
      <w:jc w:val="center"/>
    </w:pPr>
    <w:rPr>
      <w:sz w:val="48"/>
      <w:szCs w:val="72"/>
      <w:lang w:val="en-US"/>
    </w:rPr>
  </w:style>
  <w:style w:type="character" w:customStyle="1" w:styleId="TitleChar">
    <w:name w:val="Title Char"/>
    <w:basedOn w:val="DefaultParagraphFont"/>
    <w:link w:val="Title"/>
    <w:rsid w:val="00CD09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09AB"/>
    <w:pPr>
      <w:tabs>
        <w:tab w:val="left" w:pos="3600"/>
        <w:tab w:val="left" w:pos="3958"/>
      </w:tabs>
    </w:pPr>
  </w:style>
  <w:style w:type="paragraph" w:customStyle="1" w:styleId="Note">
    <w:name w:val="Note"/>
    <w:basedOn w:val="BodyText"/>
    <w:rsid w:val="00CD09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09AB"/>
    <w:pPr>
      <w:framePr w:wrap="auto" w:hAnchor="text" w:y="6049"/>
    </w:pPr>
    <w:rPr>
      <w:color w:val="000000"/>
      <w:sz w:val="40"/>
    </w:rPr>
  </w:style>
  <w:style w:type="paragraph" w:customStyle="1" w:styleId="TOCTitle">
    <w:name w:val="TOCTitle"/>
    <w:basedOn w:val="Heading1"/>
    <w:rsid w:val="00CD09AB"/>
    <w:pPr>
      <w:spacing w:after="240"/>
      <w:jc w:val="center"/>
      <w:outlineLvl w:val="9"/>
    </w:pPr>
    <w:rPr>
      <w:caps/>
    </w:rPr>
  </w:style>
  <w:style w:type="paragraph" w:customStyle="1" w:styleId="Version">
    <w:name w:val="Version"/>
    <w:rsid w:val="00CD09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09AB"/>
    <w:pPr>
      <w:keepNext w:val="0"/>
      <w:tabs>
        <w:tab w:val="right" w:pos="4176"/>
      </w:tabs>
      <w:ind w:left="198" w:hanging="198"/>
    </w:pPr>
    <w:rPr>
      <w:rFonts w:ascii="Garamond" w:hAnsi="Garamond"/>
    </w:rPr>
  </w:style>
  <w:style w:type="paragraph" w:styleId="IndexHeading">
    <w:name w:val="index heading"/>
    <w:basedOn w:val="Normal"/>
    <w:next w:val="Index1"/>
    <w:semiHidden/>
    <w:rsid w:val="00CD09AB"/>
    <w:pPr>
      <w:spacing w:before="120" w:after="120"/>
    </w:pPr>
    <w:rPr>
      <w:rFonts w:ascii="Arial" w:hAnsi="Arial"/>
      <w:b/>
      <w:color w:val="918585"/>
      <w:sz w:val="24"/>
    </w:rPr>
  </w:style>
  <w:style w:type="paragraph" w:customStyle="1" w:styleId="Chapter">
    <w:name w:val="Chapter"/>
    <w:basedOn w:val="Normal"/>
    <w:rsid w:val="00CD09AB"/>
    <w:pPr>
      <w:spacing w:before="240"/>
    </w:pPr>
    <w:rPr>
      <w:rFonts w:ascii="Times New Roman" w:hAnsi="Times New Roman"/>
      <w:smallCaps/>
      <w:spacing w:val="80"/>
      <w:sz w:val="28"/>
    </w:rPr>
  </w:style>
  <w:style w:type="paragraph" w:customStyle="1" w:styleId="InChapter">
    <w:name w:val="InChapter"/>
    <w:basedOn w:val="Heading3"/>
    <w:rsid w:val="00CD09AB"/>
    <w:pPr>
      <w:spacing w:after="240"/>
      <w:outlineLvl w:val="9"/>
    </w:pPr>
    <w:rPr>
      <w:noProof/>
    </w:rPr>
  </w:style>
  <w:style w:type="paragraph" w:styleId="Index2">
    <w:name w:val="index 2"/>
    <w:basedOn w:val="Normal"/>
    <w:next w:val="Normal"/>
    <w:semiHidden/>
    <w:rsid w:val="00CD09AB"/>
    <w:pPr>
      <w:tabs>
        <w:tab w:val="right" w:pos="4176"/>
      </w:tabs>
      <w:ind w:left="568" w:hanging="284"/>
    </w:pPr>
    <w:rPr>
      <w:rFonts w:ascii="Garamond" w:hAnsi="Garamond"/>
    </w:rPr>
  </w:style>
  <w:style w:type="paragraph" w:customStyle="1" w:styleId="Byline">
    <w:name w:val="Byline"/>
    <w:rsid w:val="00CD09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09AB"/>
    <w:pPr>
      <w:tabs>
        <w:tab w:val="clear" w:pos="3600"/>
        <w:tab w:val="clear" w:pos="3958"/>
      </w:tabs>
      <w:jc w:val="right"/>
    </w:pPr>
  </w:style>
  <w:style w:type="paragraph" w:styleId="Caption">
    <w:name w:val="caption"/>
    <w:basedOn w:val="BodyText"/>
    <w:next w:val="Normal"/>
    <w:qFormat/>
    <w:rsid w:val="00CD09AB"/>
    <w:pPr>
      <w:framePr w:w="2268" w:hSpace="181" w:vSpace="181" w:wrap="around" w:vAnchor="text" w:hAnchor="page" w:x="1135" w:y="285" w:anchorLock="1"/>
    </w:pPr>
    <w:rPr>
      <w:i/>
    </w:rPr>
  </w:style>
  <w:style w:type="paragraph" w:customStyle="1" w:styleId="MiniTOCTitle">
    <w:name w:val="MiniTOCTitle"/>
    <w:basedOn w:val="Heading4"/>
    <w:rsid w:val="00CD09AB"/>
    <w:pPr>
      <w:spacing w:before="240"/>
      <w:outlineLvl w:val="9"/>
    </w:pPr>
    <w:rPr>
      <w:noProof/>
      <w:sz w:val="24"/>
    </w:rPr>
  </w:style>
  <w:style w:type="paragraph" w:customStyle="1" w:styleId="MiniTOCItem">
    <w:name w:val="MiniTOCItem"/>
    <w:basedOn w:val="ListBullet"/>
    <w:rsid w:val="00CD09AB"/>
    <w:pPr>
      <w:numPr>
        <w:numId w:val="0"/>
      </w:numPr>
      <w:tabs>
        <w:tab w:val="right" w:leader="dot" w:pos="6521"/>
      </w:tabs>
      <w:spacing w:before="0" w:after="0"/>
    </w:pPr>
  </w:style>
  <w:style w:type="paragraph" w:customStyle="1" w:styleId="TOFTitle">
    <w:name w:val="TOFTitle"/>
    <w:basedOn w:val="TOCTitle"/>
    <w:rsid w:val="00CD09AB"/>
  </w:style>
  <w:style w:type="paragraph" w:styleId="TableofFigures">
    <w:name w:val="table of figures"/>
    <w:basedOn w:val="Normal"/>
    <w:next w:val="Normal"/>
    <w:semiHidden/>
    <w:rsid w:val="00CD09AB"/>
    <w:pPr>
      <w:tabs>
        <w:tab w:val="right" w:leader="dot" w:pos="9072"/>
      </w:tabs>
      <w:ind w:left="970" w:hanging="403"/>
    </w:pPr>
    <w:rPr>
      <w:rFonts w:ascii="Times New Roman" w:hAnsi="Times New Roman"/>
      <w:b/>
    </w:rPr>
  </w:style>
  <w:style w:type="paragraph" w:styleId="ListNumber">
    <w:name w:val="List Number"/>
    <w:basedOn w:val="List"/>
    <w:rsid w:val="00CD09AB"/>
    <w:pPr>
      <w:numPr>
        <w:numId w:val="11"/>
      </w:numPr>
    </w:pPr>
  </w:style>
  <w:style w:type="character" w:customStyle="1" w:styleId="WingdingSymbols">
    <w:name w:val="Wingding Symbols"/>
    <w:rsid w:val="00CD09AB"/>
    <w:rPr>
      <w:rFonts w:ascii="Wingdings" w:hAnsi="Wingdings"/>
    </w:rPr>
  </w:style>
  <w:style w:type="paragraph" w:customStyle="1" w:styleId="TableHeading">
    <w:name w:val="Table Heading"/>
    <w:basedOn w:val="HeadingBase"/>
    <w:rsid w:val="00CD09AB"/>
    <w:pPr>
      <w:keepLines/>
      <w:pBdr>
        <w:bottom w:val="single" w:sz="6" w:space="1" w:color="918585"/>
      </w:pBdr>
      <w:spacing w:before="240"/>
    </w:pPr>
  </w:style>
  <w:style w:type="character" w:customStyle="1" w:styleId="HotSpot">
    <w:name w:val="HotSpot"/>
    <w:rsid w:val="00CD09AB"/>
    <w:rPr>
      <w:color w:val="0033CC"/>
      <w:u w:val="none"/>
    </w:rPr>
  </w:style>
  <w:style w:type="paragraph" w:customStyle="1" w:styleId="BodyTextRight">
    <w:name w:val="Body Text Right"/>
    <w:basedOn w:val="BodyText"/>
    <w:rsid w:val="00CD09AB"/>
    <w:pPr>
      <w:spacing w:before="0" w:after="0"/>
      <w:jc w:val="right"/>
    </w:pPr>
  </w:style>
  <w:style w:type="paragraph" w:styleId="Index3">
    <w:name w:val="index 3"/>
    <w:basedOn w:val="ListNumber2"/>
    <w:next w:val="Normal"/>
    <w:semiHidden/>
    <w:rsid w:val="00CD09AB"/>
    <w:pPr>
      <w:numPr>
        <w:numId w:val="0"/>
      </w:numPr>
      <w:tabs>
        <w:tab w:val="right" w:leader="dot" w:pos="4176"/>
      </w:tabs>
    </w:pPr>
  </w:style>
  <w:style w:type="paragraph" w:styleId="ListNumber2">
    <w:name w:val="List Number 2"/>
    <w:basedOn w:val="List2"/>
    <w:rsid w:val="00CD09AB"/>
    <w:pPr>
      <w:numPr>
        <w:numId w:val="10"/>
      </w:numPr>
      <w:tabs>
        <w:tab w:val="clear" w:pos="1060"/>
      </w:tabs>
    </w:pPr>
  </w:style>
  <w:style w:type="paragraph" w:customStyle="1" w:styleId="MarginNote">
    <w:name w:val="Margin Note"/>
    <w:basedOn w:val="BodyText"/>
    <w:rsid w:val="00CD09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09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09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09AB"/>
    <w:rPr>
      <w:sz w:val="32"/>
    </w:rPr>
  </w:style>
  <w:style w:type="paragraph" w:customStyle="1" w:styleId="HeadingProcedure">
    <w:name w:val="Heading Procedure"/>
    <w:basedOn w:val="HeadingBase"/>
    <w:next w:val="Normal"/>
    <w:rsid w:val="00CD09AB"/>
    <w:pPr>
      <w:tabs>
        <w:tab w:val="left" w:pos="0"/>
      </w:tabs>
      <w:spacing w:before="120" w:after="60"/>
    </w:pPr>
    <w:rPr>
      <w:i/>
      <w:color w:val="918585"/>
      <w:sz w:val="22"/>
    </w:rPr>
  </w:style>
  <w:style w:type="paragraph" w:customStyle="1" w:styleId="TableBodyText">
    <w:name w:val="Table Body Text"/>
    <w:basedOn w:val="BodyText"/>
    <w:rsid w:val="00CD09AB"/>
    <w:pPr>
      <w:spacing w:before="60" w:after="60"/>
    </w:pPr>
  </w:style>
  <w:style w:type="paragraph" w:styleId="ListContinue">
    <w:name w:val="List Continue"/>
    <w:basedOn w:val="List"/>
    <w:rsid w:val="00CD09AB"/>
    <w:pPr>
      <w:ind w:firstLine="0"/>
    </w:pPr>
  </w:style>
  <w:style w:type="paragraph" w:customStyle="1" w:styleId="ListNote">
    <w:name w:val="List Note"/>
    <w:basedOn w:val="List"/>
    <w:rsid w:val="00CD09AB"/>
    <w:pPr>
      <w:pBdr>
        <w:top w:val="single" w:sz="6" w:space="2" w:color="918585"/>
        <w:bottom w:val="single" w:sz="6" w:space="2" w:color="918585"/>
      </w:pBdr>
      <w:tabs>
        <w:tab w:val="left" w:pos="1021"/>
      </w:tabs>
      <w:ind w:firstLine="0"/>
    </w:pPr>
  </w:style>
  <w:style w:type="paragraph" w:customStyle="1" w:styleId="Warning">
    <w:name w:val="Warning"/>
    <w:basedOn w:val="BodyText"/>
    <w:rsid w:val="00CD09AB"/>
    <w:pPr>
      <w:shd w:val="clear" w:color="auto" w:fill="D9D9D9"/>
      <w:tabs>
        <w:tab w:val="left" w:pos="992"/>
      </w:tabs>
      <w:ind w:left="119" w:right="119"/>
    </w:pPr>
    <w:rPr>
      <w:sz w:val="20"/>
    </w:rPr>
  </w:style>
  <w:style w:type="paragraph" w:customStyle="1" w:styleId="MarginIcons">
    <w:name w:val="Margin Icons"/>
    <w:basedOn w:val="BodyText"/>
    <w:rsid w:val="00CD09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09AB"/>
    <w:rPr>
      <w:rFonts w:ascii="Courier New" w:hAnsi="Courier New"/>
    </w:rPr>
  </w:style>
  <w:style w:type="paragraph" w:customStyle="1" w:styleId="NoteBullet">
    <w:name w:val="Note Bullet"/>
    <w:basedOn w:val="Note"/>
    <w:rsid w:val="00CD09AB"/>
    <w:pPr>
      <w:tabs>
        <w:tab w:val="clear" w:pos="680"/>
      </w:tabs>
      <w:spacing w:before="60" w:after="60"/>
    </w:pPr>
  </w:style>
  <w:style w:type="paragraph" w:customStyle="1" w:styleId="SubHeading2">
    <w:name w:val="SubHeading2"/>
    <w:basedOn w:val="HeadingBase"/>
    <w:rsid w:val="00CD09AB"/>
    <w:pPr>
      <w:spacing w:before="240" w:after="60"/>
    </w:pPr>
    <w:rPr>
      <w:sz w:val="20"/>
    </w:rPr>
  </w:style>
  <w:style w:type="paragraph" w:customStyle="1" w:styleId="SubHeading1">
    <w:name w:val="SubHeading1"/>
    <w:basedOn w:val="HeadingBase"/>
    <w:rsid w:val="00CD09AB"/>
    <w:pPr>
      <w:spacing w:before="240" w:after="60"/>
    </w:pPr>
    <w:rPr>
      <w:color w:val="918585"/>
      <w:sz w:val="22"/>
    </w:rPr>
  </w:style>
  <w:style w:type="paragraph" w:customStyle="1" w:styleId="SideHeading">
    <w:name w:val="Side Heading"/>
    <w:basedOn w:val="HeadingBase"/>
    <w:rsid w:val="00CD09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09AB"/>
    <w:pPr>
      <w:numPr>
        <w:numId w:val="12"/>
      </w:numPr>
    </w:pPr>
  </w:style>
  <w:style w:type="paragraph" w:styleId="PlainText">
    <w:name w:val="Plain Text"/>
    <w:basedOn w:val="Normal"/>
    <w:link w:val="PlainTextChar"/>
    <w:rsid w:val="00CD09AB"/>
    <w:rPr>
      <w:sz w:val="20"/>
    </w:rPr>
  </w:style>
  <w:style w:type="character" w:customStyle="1" w:styleId="PlainTextChar">
    <w:name w:val="Plain Text Char"/>
    <w:basedOn w:val="DefaultParagraphFont"/>
    <w:link w:val="PlainText"/>
    <w:rsid w:val="00CD09A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D09AB"/>
    <w:rPr>
      <w:b/>
      <w:smallCaps/>
    </w:rPr>
  </w:style>
  <w:style w:type="paragraph" w:customStyle="1" w:styleId="TableListNumber">
    <w:name w:val="Table List Number"/>
    <w:basedOn w:val="ListNumber"/>
    <w:rsid w:val="00CD09AB"/>
    <w:pPr>
      <w:numPr>
        <w:numId w:val="0"/>
      </w:numPr>
    </w:pPr>
  </w:style>
  <w:style w:type="paragraph" w:styleId="TOC4">
    <w:name w:val="toc 4"/>
    <w:basedOn w:val="TOCBase"/>
    <w:next w:val="Normal"/>
    <w:semiHidden/>
    <w:rsid w:val="00CD09AB"/>
    <w:pPr>
      <w:tabs>
        <w:tab w:val="right" w:leader="dot" w:pos="9071"/>
      </w:tabs>
      <w:ind w:left="1701"/>
    </w:pPr>
  </w:style>
  <w:style w:type="paragraph" w:customStyle="1" w:styleId="ListAlpha">
    <w:name w:val="List Alpha"/>
    <w:basedOn w:val="List"/>
    <w:rsid w:val="00CD09AB"/>
    <w:pPr>
      <w:numPr>
        <w:numId w:val="9"/>
      </w:numPr>
    </w:pPr>
  </w:style>
  <w:style w:type="paragraph" w:customStyle="1" w:styleId="ListAlpha2">
    <w:name w:val="List Alpha 2"/>
    <w:basedOn w:val="List2"/>
    <w:rsid w:val="00CD09AB"/>
    <w:pPr>
      <w:numPr>
        <w:numId w:val="8"/>
      </w:numPr>
    </w:pPr>
  </w:style>
  <w:style w:type="paragraph" w:styleId="List2">
    <w:name w:val="List 2"/>
    <w:basedOn w:val="BodyText"/>
    <w:rsid w:val="00CD09AB"/>
    <w:pPr>
      <w:tabs>
        <w:tab w:val="left" w:pos="680"/>
      </w:tabs>
      <w:spacing w:before="60" w:after="60"/>
      <w:ind w:left="680" w:hanging="340"/>
    </w:pPr>
  </w:style>
  <w:style w:type="paragraph" w:styleId="List3">
    <w:name w:val="List 3"/>
    <w:basedOn w:val="BodyText"/>
    <w:rsid w:val="00CD09AB"/>
    <w:pPr>
      <w:tabs>
        <w:tab w:val="left" w:pos="1021"/>
      </w:tabs>
      <w:spacing w:before="60" w:after="60"/>
      <w:ind w:left="1020" w:hanging="340"/>
    </w:pPr>
  </w:style>
  <w:style w:type="paragraph" w:styleId="List4">
    <w:name w:val="List 4"/>
    <w:basedOn w:val="BodyText"/>
    <w:rsid w:val="00CD09AB"/>
    <w:pPr>
      <w:tabs>
        <w:tab w:val="left" w:pos="1361"/>
      </w:tabs>
      <w:spacing w:before="60" w:after="60"/>
      <w:ind w:left="1361" w:hanging="340"/>
    </w:pPr>
  </w:style>
  <w:style w:type="paragraph" w:styleId="List5">
    <w:name w:val="List 5"/>
    <w:basedOn w:val="BodyText"/>
    <w:rsid w:val="00CD09AB"/>
    <w:pPr>
      <w:tabs>
        <w:tab w:val="left" w:pos="1701"/>
      </w:tabs>
      <w:spacing w:before="60" w:after="60"/>
      <w:ind w:left="1701" w:hanging="340"/>
    </w:pPr>
  </w:style>
  <w:style w:type="paragraph" w:styleId="ListBullet3">
    <w:name w:val="List Bullet 3"/>
    <w:basedOn w:val="List3"/>
    <w:rsid w:val="00CD09AB"/>
    <w:pPr>
      <w:numPr>
        <w:numId w:val="15"/>
      </w:numPr>
      <w:tabs>
        <w:tab w:val="clear" w:pos="1021"/>
      </w:tabs>
      <w:ind w:left="1037" w:hanging="357"/>
    </w:pPr>
  </w:style>
  <w:style w:type="paragraph" w:styleId="ListBullet4">
    <w:name w:val="List Bullet 4"/>
    <w:basedOn w:val="List4"/>
    <w:rsid w:val="00CD09AB"/>
    <w:pPr>
      <w:numPr>
        <w:numId w:val="3"/>
      </w:numPr>
    </w:pPr>
  </w:style>
  <w:style w:type="paragraph" w:styleId="ListBullet5">
    <w:name w:val="List Bullet 5"/>
    <w:basedOn w:val="List5"/>
    <w:rsid w:val="00CD09AB"/>
    <w:pPr>
      <w:numPr>
        <w:numId w:val="4"/>
      </w:numPr>
    </w:pPr>
  </w:style>
  <w:style w:type="paragraph" w:styleId="ListContinue2">
    <w:name w:val="List Continue 2"/>
    <w:basedOn w:val="List2"/>
    <w:rsid w:val="00CD09AB"/>
    <w:pPr>
      <w:ind w:firstLine="0"/>
    </w:pPr>
  </w:style>
  <w:style w:type="paragraph" w:styleId="ListContinue3">
    <w:name w:val="List Continue 3"/>
    <w:basedOn w:val="List3"/>
    <w:rsid w:val="00CD09AB"/>
    <w:pPr>
      <w:ind w:left="1021" w:firstLine="0"/>
    </w:pPr>
  </w:style>
  <w:style w:type="paragraph" w:styleId="ListContinue4">
    <w:name w:val="List Continue 4"/>
    <w:basedOn w:val="List4"/>
    <w:rsid w:val="00CD09AB"/>
    <w:pPr>
      <w:ind w:firstLine="0"/>
    </w:pPr>
  </w:style>
  <w:style w:type="paragraph" w:styleId="ListContinue5">
    <w:name w:val="List Continue 5"/>
    <w:basedOn w:val="List5"/>
    <w:rsid w:val="00CD09AB"/>
    <w:pPr>
      <w:ind w:firstLine="0"/>
    </w:pPr>
  </w:style>
  <w:style w:type="paragraph" w:styleId="ListNumber3">
    <w:name w:val="List Number 3"/>
    <w:basedOn w:val="List3"/>
    <w:rsid w:val="00CD09AB"/>
    <w:pPr>
      <w:numPr>
        <w:numId w:val="5"/>
      </w:numPr>
    </w:pPr>
  </w:style>
  <w:style w:type="paragraph" w:styleId="ListNumber4">
    <w:name w:val="List Number 4"/>
    <w:basedOn w:val="List4"/>
    <w:rsid w:val="00CD09AB"/>
    <w:pPr>
      <w:numPr>
        <w:numId w:val="6"/>
      </w:numPr>
    </w:pPr>
  </w:style>
  <w:style w:type="paragraph" w:styleId="ListNumber5">
    <w:name w:val="List Number 5"/>
    <w:basedOn w:val="List5"/>
    <w:rsid w:val="00CD09AB"/>
    <w:pPr>
      <w:numPr>
        <w:numId w:val="7"/>
      </w:numPr>
    </w:pPr>
  </w:style>
  <w:style w:type="paragraph" w:styleId="BlockText">
    <w:name w:val="Block Text"/>
    <w:basedOn w:val="Normal"/>
    <w:rsid w:val="00CD09AB"/>
    <w:pPr>
      <w:spacing w:after="120"/>
      <w:ind w:left="1440" w:right="1440"/>
    </w:pPr>
  </w:style>
  <w:style w:type="character" w:customStyle="1" w:styleId="Subscript">
    <w:name w:val="Subscript"/>
    <w:basedOn w:val="DefaultParagraphFont"/>
    <w:rsid w:val="00CD09AB"/>
    <w:rPr>
      <w:sz w:val="16"/>
      <w:vertAlign w:val="subscript"/>
    </w:rPr>
  </w:style>
  <w:style w:type="character" w:customStyle="1" w:styleId="Superscript">
    <w:name w:val="Superscript"/>
    <w:basedOn w:val="DefaultParagraphFont"/>
    <w:rsid w:val="00CD09AB"/>
    <w:rPr>
      <w:sz w:val="16"/>
      <w:vertAlign w:val="superscript"/>
    </w:rPr>
  </w:style>
  <w:style w:type="character" w:customStyle="1" w:styleId="Symbols">
    <w:name w:val="Symbols"/>
    <w:basedOn w:val="DefaultParagraphFont"/>
    <w:rsid w:val="00CD09AB"/>
    <w:rPr>
      <w:rFonts w:ascii="Symbol" w:hAnsi="Symbol"/>
    </w:rPr>
  </w:style>
  <w:style w:type="character" w:customStyle="1" w:styleId="MenuOptions">
    <w:name w:val="Menu Options"/>
    <w:basedOn w:val="DefaultParagraphFont"/>
    <w:rsid w:val="00CD09AB"/>
    <w:rPr>
      <w:rFonts w:ascii="Arial Narrow" w:hAnsi="Arial Narrow"/>
      <w:smallCaps/>
    </w:rPr>
  </w:style>
  <w:style w:type="character" w:customStyle="1" w:styleId="Buttons">
    <w:name w:val="Buttons"/>
    <w:basedOn w:val="DefaultParagraphFont"/>
    <w:rsid w:val="00CD09AB"/>
    <w:rPr>
      <w:b/>
    </w:rPr>
  </w:style>
  <w:style w:type="character" w:customStyle="1" w:styleId="Underlined">
    <w:name w:val="Underlined"/>
    <w:basedOn w:val="DefaultParagraphFont"/>
    <w:rsid w:val="00CD09AB"/>
    <w:rPr>
      <w:u w:val="single"/>
    </w:rPr>
  </w:style>
  <w:style w:type="paragraph" w:customStyle="1" w:styleId="TableBodyTextRight">
    <w:name w:val="Table Body Text Right"/>
    <w:basedOn w:val="TableBodyText"/>
    <w:rsid w:val="00CD09AB"/>
    <w:pPr>
      <w:widowControl w:val="0"/>
      <w:autoSpaceDE w:val="0"/>
      <w:autoSpaceDN w:val="0"/>
      <w:adjustRightInd w:val="0"/>
      <w:jc w:val="right"/>
    </w:pPr>
    <w:rPr>
      <w:rFonts w:cs="Arial"/>
      <w:szCs w:val="18"/>
    </w:rPr>
  </w:style>
  <w:style w:type="paragraph" w:customStyle="1" w:styleId="CopyrightText">
    <w:name w:val="Copyright Text"/>
    <w:basedOn w:val="BodyText"/>
    <w:rsid w:val="00CD09AB"/>
    <w:rPr>
      <w:sz w:val="18"/>
    </w:rPr>
  </w:style>
  <w:style w:type="paragraph" w:customStyle="1" w:styleId="BodySmallRight">
    <w:name w:val="Body Small Right"/>
    <w:basedOn w:val="BodyTextRight"/>
    <w:rsid w:val="00CD09AB"/>
    <w:rPr>
      <w:sz w:val="18"/>
      <w:szCs w:val="18"/>
    </w:rPr>
  </w:style>
  <w:style w:type="paragraph" w:customStyle="1" w:styleId="MarginEdition">
    <w:name w:val="Margin Edition"/>
    <w:basedOn w:val="MarginNote"/>
    <w:rsid w:val="00CD09AB"/>
    <w:pPr>
      <w:spacing w:before="0" w:after="0"/>
    </w:pPr>
    <w:rPr>
      <w:rFonts w:ascii="Times New Roman" w:hAnsi="Times New Roman"/>
      <w:color w:val="999999"/>
    </w:rPr>
  </w:style>
  <w:style w:type="paragraph" w:customStyle="1" w:styleId="Spacer">
    <w:name w:val="Spacer"/>
    <w:basedOn w:val="Normal"/>
    <w:rsid w:val="00CD09AB"/>
    <w:rPr>
      <w:sz w:val="2"/>
      <w:szCs w:val="2"/>
    </w:rPr>
  </w:style>
  <w:style w:type="character" w:customStyle="1" w:styleId="Small">
    <w:name w:val="Small"/>
    <w:basedOn w:val="DefaultParagraphFont"/>
    <w:rsid w:val="00CD09AB"/>
    <w:rPr>
      <w:sz w:val="16"/>
    </w:rPr>
  </w:style>
  <w:style w:type="paragraph" w:customStyle="1" w:styleId="WideTable">
    <w:name w:val="Wide Table"/>
    <w:basedOn w:val="Normal"/>
    <w:rsid w:val="00CD09AB"/>
    <w:pPr>
      <w:ind w:left="-1418"/>
    </w:pPr>
    <w:rPr>
      <w:sz w:val="2"/>
      <w:szCs w:val="2"/>
    </w:rPr>
  </w:style>
  <w:style w:type="character" w:styleId="PageNumber">
    <w:name w:val="page number"/>
    <w:basedOn w:val="DefaultParagraphFont"/>
    <w:rsid w:val="00CD09AB"/>
  </w:style>
  <w:style w:type="paragraph" w:styleId="Quote">
    <w:name w:val="Quote"/>
    <w:basedOn w:val="Heading1"/>
    <w:link w:val="QuoteChar"/>
    <w:qFormat/>
    <w:rsid w:val="00CD09AB"/>
    <w:rPr>
      <w:b w:val="0"/>
      <w:sz w:val="72"/>
      <w:szCs w:val="72"/>
      <w:lang w:val="en-NZ"/>
    </w:rPr>
  </w:style>
  <w:style w:type="character" w:customStyle="1" w:styleId="QuoteChar">
    <w:name w:val="Quote Char"/>
    <w:basedOn w:val="DefaultParagraphFont"/>
    <w:link w:val="Quote"/>
    <w:rsid w:val="00CD09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09AB"/>
    <w:pPr>
      <w:pageBreakBefore/>
    </w:pPr>
  </w:style>
  <w:style w:type="paragraph" w:customStyle="1" w:styleId="Border">
    <w:name w:val="Border"/>
    <w:basedOn w:val="Normal"/>
    <w:qFormat/>
    <w:rsid w:val="00CD09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09AB"/>
    <w:rPr>
      <w:b/>
      <w:bCs/>
      <w:i/>
      <w:iCs/>
      <w:color w:val="auto"/>
    </w:rPr>
  </w:style>
  <w:style w:type="paragraph" w:styleId="IntenseQuote">
    <w:name w:val="Intense Quote"/>
    <w:basedOn w:val="Normal"/>
    <w:next w:val="Normal"/>
    <w:link w:val="IntenseQuoteChar"/>
    <w:uiPriority w:val="30"/>
    <w:qFormat/>
    <w:rsid w:val="00CD09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09A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D09AB"/>
    <w:rPr>
      <w:smallCaps/>
      <w:color w:val="auto"/>
      <w:u w:val="single"/>
    </w:rPr>
  </w:style>
  <w:style w:type="character" w:styleId="IntenseReference">
    <w:name w:val="Intense Reference"/>
    <w:basedOn w:val="DefaultParagraphFont"/>
    <w:uiPriority w:val="32"/>
    <w:qFormat/>
    <w:rsid w:val="00CD09AB"/>
    <w:rPr>
      <w:b/>
      <w:bCs/>
      <w:smallCaps/>
      <w:color w:val="auto"/>
      <w:spacing w:val="5"/>
      <w:u w:val="single"/>
    </w:rPr>
  </w:style>
  <w:style w:type="paragraph" w:customStyle="1" w:styleId="2ColumnHeading">
    <w:name w:val="2Column Heading"/>
    <w:basedOn w:val="BodyText"/>
    <w:qFormat/>
    <w:rsid w:val="00CD09AB"/>
    <w:pPr>
      <w:spacing w:after="60"/>
      <w:ind w:left="-2268"/>
    </w:pPr>
    <w:rPr>
      <w:b/>
    </w:rPr>
  </w:style>
  <w:style w:type="paragraph" w:customStyle="1" w:styleId="Heading1TOC">
    <w:name w:val="Heading1 TOC"/>
    <w:basedOn w:val="Normal"/>
    <w:qFormat/>
    <w:rsid w:val="00CD09AB"/>
    <w:pPr>
      <w:spacing w:before="240" w:after="120"/>
    </w:pPr>
    <w:rPr>
      <w:rFonts w:ascii="Times New Roman" w:hAnsi="Times New Roman"/>
      <w:b/>
      <w:sz w:val="32"/>
    </w:rPr>
  </w:style>
  <w:style w:type="paragraph" w:customStyle="1" w:styleId="Heading2TOC">
    <w:name w:val="Heading2 TOC"/>
    <w:basedOn w:val="Normal"/>
    <w:qFormat/>
    <w:rsid w:val="00CD09AB"/>
    <w:pPr>
      <w:spacing w:before="240" w:after="60"/>
    </w:pPr>
    <w:rPr>
      <w:rFonts w:ascii="Times New Roman" w:hAnsi="Times New Roman"/>
      <w:b/>
      <w:sz w:val="28"/>
    </w:rPr>
  </w:style>
  <w:style w:type="character" w:customStyle="1" w:styleId="Underline">
    <w:name w:val="Underline"/>
    <w:basedOn w:val="DefaultParagraphFont"/>
    <w:qFormat/>
    <w:rsid w:val="00CD09AB"/>
    <w:rPr>
      <w:u w:val="single"/>
    </w:rPr>
  </w:style>
  <w:style w:type="character" w:customStyle="1" w:styleId="BoldandItalics">
    <w:name w:val="Bold and Italics"/>
    <w:qFormat/>
    <w:rsid w:val="00CD09AB"/>
    <w:rPr>
      <w:b/>
      <w:i/>
      <w:u w:val="none"/>
    </w:rPr>
  </w:style>
  <w:style w:type="paragraph" w:styleId="BalloonText">
    <w:name w:val="Balloon Text"/>
    <w:basedOn w:val="Normal"/>
    <w:link w:val="BalloonTextChar"/>
    <w:rsid w:val="00CD09AB"/>
    <w:rPr>
      <w:rFonts w:ascii="Tahoma" w:hAnsi="Tahoma" w:cs="Tahoma"/>
      <w:sz w:val="16"/>
      <w:szCs w:val="16"/>
    </w:rPr>
  </w:style>
  <w:style w:type="character" w:customStyle="1" w:styleId="BalloonTextChar">
    <w:name w:val="Balloon Text Char"/>
    <w:basedOn w:val="DefaultParagraphFont"/>
    <w:link w:val="BalloonText"/>
    <w:rsid w:val="00CD09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09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09A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1670</Words>
  <Characters>10251</Characters>
  <Application>Microsoft Office Word</Application>
  <DocSecurity>0</DocSecurity>
  <Lines>372</Lines>
  <Paragraphs>187</Paragraphs>
  <ScaleCrop>false</ScaleCrop>
  <Company>Author-it Software Corporation Ltd.</Company>
  <LinksUpToDate>false</LinksUpToDate>
  <CharactersWithSpaces>11861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CHCYTH401B Engage respectfully with young people</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2012-05-26T14:47:00Z</dcterms:created>
  <dcterms:modified xsi:type="dcterms:W3CDTF">2012-05-26T14:47:00Z</dcterms:modified>
</cp:coreProperties>
</file>