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1417" w:rsidP="00441417">
      <w:pPr>
        <w:pStyle w:val="Title"/>
      </w:pPr>
      <w:bookmarkStart w:id="0" w:name="_GoBack"/>
      <w:bookmarkEnd w:id="0"/>
      <w:r>
        <w:fldChar w:fldCharType="begin"/>
      </w:r>
      <w:r>
        <w:instrText xml:space="preserve"> TITLE   \* MERGEFORMAT </w:instrText>
      </w:r>
      <w:r>
        <w:fldChar w:fldCharType="separate"/>
      </w:r>
      <w:r>
        <w:t>CHCPW401A Apply peer work practices in the mental health sector</w:t>
      </w:r>
      <w:r>
        <w:fldChar w:fldCharType="end"/>
      </w:r>
    </w:p>
    <w:p w:rsidR="00441417" w:rsidP="00441417">
      <w:pPr>
        <w:pStyle w:val="Version"/>
        <w:sectPr w:rsidSect="00E962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6211" w:rsidP="00E96211">
      <w:pPr>
        <w:pStyle w:val="SuperHeading"/>
      </w:pPr>
      <w:r w:rsidRPr="00E96211">
        <w:t>CHCPW401A Apply peer work practices in the mental health sector</w:t>
      </w:r>
    </w:p>
    <w:p w:rsidR="00000000" w:rsidRPr="00E96211" w:rsidP="00E96211">
      <w:pPr>
        <w:pStyle w:val="Heading1"/>
      </w:pPr>
      <w:bookmarkStart w:id="1" w:name="O_451004"/>
      <w:bookmarkEnd w:id="1"/>
      <w:r w:rsidRPr="00E96211">
        <w:t>Modification History</w:t>
      </w:r>
    </w:p>
    <w:p w:rsidR="00000000" w:rsidRPr="00E96211" w:rsidP="00E96211">
      <w:pPr>
        <w:pStyle w:val="BodyText"/>
      </w:pPr>
      <w:r w:rsidRPr="00E96211">
        <w:t>Not applicable.</w:t>
      </w:r>
    </w:p>
    <w:p w:rsidR="00000000" w:rsidRPr="00E96211" w:rsidP="00E96211">
      <w:pPr>
        <w:pStyle w:val="AllowPageBreak"/>
      </w:pPr>
    </w:p>
    <w:p w:rsidR="00000000" w:rsidRPr="00E96211" w:rsidP="00E96211">
      <w:pPr>
        <w:pStyle w:val="Heading1"/>
      </w:pPr>
      <w:bookmarkStart w:id="2" w:name="O_451005"/>
      <w:bookmarkEnd w:id="2"/>
      <w:r w:rsidRPr="00E96211">
        <w:t>Unit Descriptor</w:t>
      </w:r>
    </w:p>
    <w:p w:rsidR="00000000" w:rsidRPr="00E96211" w:rsidP="00E96211">
      <w:pPr>
        <w:pStyle w:val="BodyText"/>
      </w:pPr>
      <w:r w:rsidRPr="00E96211">
        <w:t>This unit descri</w:t>
      </w:r>
      <w:r w:rsidRPr="00E96211">
        <w:t xml:space="preserve">bes the knowledge and skills required for working with the mental health peer workforce in a range of settings where peer work occurs </w:t>
      </w:r>
    </w:p>
    <w:p w:rsidR="00000000" w:rsidRPr="00E96211" w:rsidP="00E96211">
      <w:pPr>
        <w:pStyle w:val="AllowPageBreak"/>
      </w:pPr>
    </w:p>
    <w:p w:rsidR="00000000" w:rsidRPr="00E96211" w:rsidP="00E96211">
      <w:pPr>
        <w:pStyle w:val="Heading1"/>
      </w:pPr>
      <w:bookmarkStart w:id="3" w:name="O_451006"/>
      <w:bookmarkEnd w:id="3"/>
      <w:r w:rsidRPr="00E96211">
        <w:t>Application of the Unit</w:t>
      </w:r>
    </w:p>
    <w:p w:rsidR="00000000" w:rsidRPr="00E96211" w:rsidP="00E96211">
      <w:pPr>
        <w:pStyle w:val="BodyText"/>
      </w:pPr>
      <w:r w:rsidRPr="00E96211">
        <w:t xml:space="preserve">This unit applies to peer work with individuals affected by mental illness in a </w:t>
      </w:r>
      <w:r w:rsidRPr="00E96211">
        <w:t xml:space="preserve">range of mental health services </w:t>
      </w:r>
    </w:p>
    <w:p w:rsidR="00000000" w:rsidRPr="00E96211" w:rsidP="00E96211">
      <w:pPr>
        <w:pStyle w:val="AllowPageBreak"/>
      </w:pPr>
    </w:p>
    <w:p w:rsidR="00000000" w:rsidRPr="00E96211" w:rsidP="00E96211">
      <w:pPr>
        <w:pStyle w:val="Heading1"/>
      </w:pPr>
      <w:bookmarkStart w:id="4" w:name="O_451007"/>
      <w:bookmarkEnd w:id="4"/>
      <w:r w:rsidRPr="00E96211">
        <w:t>Licensing/Regulatory Information</w:t>
      </w:r>
    </w:p>
    <w:p w:rsidR="00000000" w:rsidRPr="00E96211" w:rsidP="00E96211">
      <w:pPr>
        <w:pStyle w:val="BodyText"/>
      </w:pPr>
      <w:r w:rsidRPr="00E96211">
        <w:t>Not applicable.</w:t>
      </w:r>
    </w:p>
    <w:p w:rsidR="00000000" w:rsidRPr="00E96211" w:rsidP="00E96211">
      <w:pPr>
        <w:pStyle w:val="AllowPageBreak"/>
      </w:pPr>
    </w:p>
    <w:p w:rsidR="00000000" w:rsidRPr="00E96211" w:rsidP="00E96211">
      <w:pPr>
        <w:pStyle w:val="Heading1"/>
      </w:pPr>
      <w:bookmarkStart w:id="5" w:name="O_451008"/>
      <w:bookmarkEnd w:id="5"/>
      <w:r w:rsidRPr="00E96211">
        <w:t>Pre-Requisites</w:t>
      </w:r>
    </w:p>
    <w:p w:rsidR="00000000" w:rsidRPr="00E96211" w:rsidP="00E96211">
      <w:pPr>
        <w:pStyle w:val="BodyText"/>
      </w:pPr>
      <w:r w:rsidRPr="00E96211">
        <w:t>Not applicable.</w:t>
      </w:r>
    </w:p>
    <w:p w:rsidR="00000000" w:rsidRPr="00E96211" w:rsidP="00E96211">
      <w:pPr>
        <w:pStyle w:val="AllowPageBreak"/>
      </w:pPr>
    </w:p>
    <w:p w:rsidR="00000000" w:rsidRPr="00E96211" w:rsidP="00E96211">
      <w:pPr>
        <w:pStyle w:val="Heading1"/>
      </w:pPr>
      <w:bookmarkStart w:id="6" w:name="O_451009"/>
      <w:bookmarkEnd w:id="6"/>
      <w:r w:rsidRPr="00E96211">
        <w:t>Employability Skills Information</w:t>
      </w:r>
    </w:p>
    <w:p w:rsidR="00000000" w:rsidRPr="00E96211" w:rsidP="00E96211">
      <w:pPr>
        <w:pStyle w:val="BodyText"/>
      </w:pPr>
      <w:r w:rsidRPr="00E96211">
        <w:t>This unit contains Employability Skills</w:t>
      </w:r>
    </w:p>
    <w:p w:rsidR="00000000" w:rsidRPr="00E96211" w:rsidP="00E96211">
      <w:pPr>
        <w:pStyle w:val="AllowPageBreak"/>
      </w:pPr>
    </w:p>
    <w:p w:rsidR="00000000" w:rsidRPr="00E96211" w:rsidP="00E96211">
      <w:pPr>
        <w:pStyle w:val="Heading1"/>
      </w:pPr>
      <w:bookmarkStart w:id="7" w:name="O_451010"/>
      <w:bookmarkEnd w:id="7"/>
      <w:r w:rsidRPr="00E96211">
        <w:t>Elements and Performance Criteria Pre-Content</w:t>
      </w:r>
    </w:p>
    <w:p w:rsidR="00000000" w:rsidRPr="00E96211" w:rsidP="00E96211">
      <w:pPr>
        <w:pStyle w:val="BodyText"/>
      </w:pPr>
      <w:r w:rsidRPr="00E96211">
        <w:t>Not applicable.</w:t>
      </w:r>
    </w:p>
    <w:p w:rsidR="00000000" w:rsidRPr="00E96211" w:rsidP="00E96211">
      <w:pPr>
        <w:pStyle w:val="AllowPageBreak"/>
      </w:pPr>
    </w:p>
    <w:p w:rsidR="00000000" w:rsidRPr="00E96211" w:rsidP="00E96211">
      <w:pPr>
        <w:pStyle w:val="Heading1"/>
      </w:pPr>
      <w:bookmarkStart w:id="8" w:name="O_451011"/>
      <w:bookmarkEnd w:id="8"/>
      <w:r w:rsidRPr="00E96211">
        <w:t>Elements and Performance Criteria</w:t>
      </w:r>
    </w:p>
    <w:tbl>
      <w:tblPr>
        <w:tblW w:w="0" w:type="auto"/>
        <w:tblLayout w:type="fixed"/>
        <w:tblCellMar>
          <w:left w:w="62" w:type="dxa"/>
          <w:right w:w="62" w:type="dxa"/>
        </w:tblCellMar>
        <w:tblLook w:val="0000"/>
      </w:tblPr>
      <w:tblGrid>
        <w:gridCol w:w="3261"/>
        <w:gridCol w:w="5702"/>
      </w:tblGrid>
      <w:tr w:rsidTr="0044141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96211" w:rsidP="00E96211">
            <w:pPr>
              <w:pStyle w:val="BodyText"/>
            </w:pPr>
            <w:r w:rsidRPr="00E9621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96211">
            <w:pPr>
              <w:pStyle w:val="BodyText"/>
              <w:rPr>
                <w:lang w:val="en-NZ"/>
              </w:rPr>
            </w:pPr>
            <w:r w:rsidRPr="00E96211">
              <w:rPr>
                <w:rStyle w:val="SpecialBold"/>
              </w:rPr>
              <w:t>PERFORMANCE CRITERIA</w:t>
            </w:r>
          </w:p>
        </w:tc>
      </w:tr>
      <w:tr w:rsidTr="0044141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E96211">
            <w:pPr>
              <w:pStyle w:val="BodyText"/>
              <w:rPr>
                <w:lang w:val="en-NZ"/>
              </w:rPr>
            </w:pPr>
            <w:r w:rsidRPr="00E9621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P="00E96211">
            <w:pPr>
              <w:pStyle w:val="BodyText"/>
              <w:rPr>
                <w:lang w:val="en-NZ"/>
              </w:rPr>
            </w:pPr>
            <w:r w:rsidRPr="00E96211">
              <w:t xml:space="preserve">The Performance Criteria specify the level of performance required to demonstrate achievement of the Element. Terms in italics are elaborated in the Range Statement. </w:t>
            </w:r>
          </w:p>
        </w:tc>
      </w:tr>
      <w:tr w:rsidTr="0044141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96211">
            <w:pPr>
              <w:pStyle w:val="ListBullet"/>
              <w:rPr>
                <w:lang w:val="en-NZ"/>
              </w:rPr>
            </w:pPr>
            <w:r w:rsidRPr="00E96211">
              <w:t xml:space="preserve">Identify the context of mental health peer work </w:t>
            </w:r>
          </w:p>
        </w:tc>
        <w:tc>
          <w:tcPr>
            <w:tcW w:w="5702" w:type="dxa"/>
            <w:tcBorders>
              <w:top w:val="nil"/>
              <w:left w:val="nil"/>
              <w:bottom w:val="nil"/>
              <w:right w:val="nil"/>
            </w:tcBorders>
            <w:tcMar>
              <w:top w:w="0" w:type="dxa"/>
              <w:left w:w="62" w:type="dxa"/>
              <w:bottom w:w="0" w:type="dxa"/>
              <w:right w:w="62" w:type="dxa"/>
            </w:tcMar>
          </w:tcPr>
          <w:p w:rsidR="00000000" w:rsidRPr="00E96211" w:rsidP="00E96211">
            <w:pPr>
              <w:pStyle w:val="BodyText"/>
            </w:pPr>
            <w:r w:rsidRPr="00E96211">
              <w:t>1.1</w:t>
            </w:r>
            <w:r w:rsidRPr="00E96211">
              <w:tab/>
            </w:r>
            <w:r w:rsidRPr="00E96211">
              <w:t>Demonstrate awareness of the historical context of peer work</w:t>
            </w:r>
          </w:p>
          <w:p w:rsidR="00000000" w:rsidRPr="00E96211" w:rsidP="00E96211">
            <w:pPr>
              <w:pStyle w:val="BodyText"/>
            </w:pPr>
            <w:r w:rsidRPr="00E96211">
              <w:t>1.2</w:t>
            </w:r>
            <w:r w:rsidRPr="00E96211">
              <w:tab/>
              <w:t xml:space="preserve">Demonstrate consideration of the changing </w:t>
            </w:r>
            <w:r w:rsidRPr="00E96211">
              <w:rPr>
                <w:rStyle w:val="Emphasis"/>
              </w:rPr>
              <w:t>social, political, cultural and economic context</w:t>
            </w:r>
            <w:r w:rsidRPr="00E96211">
              <w:t xml:space="preserve"> in all peer work</w:t>
            </w:r>
          </w:p>
          <w:p w:rsidR="00000000" w:rsidRPr="00E96211" w:rsidP="00E96211">
            <w:pPr>
              <w:pStyle w:val="BodyText"/>
            </w:pPr>
            <w:r w:rsidRPr="00E96211">
              <w:t>1.3</w:t>
            </w:r>
            <w:r w:rsidRPr="00E96211">
              <w:tab/>
              <w:t>Define peer work role and structures in a range of mental health services</w:t>
            </w:r>
          </w:p>
          <w:p w:rsidR="00000000" w:rsidRPr="00E96211" w:rsidP="00E96211">
            <w:pPr>
              <w:pStyle w:val="BodyText"/>
            </w:pPr>
            <w:r w:rsidRPr="00E96211">
              <w:t xml:space="preserve">1.4 </w:t>
            </w:r>
            <w:r w:rsidRPr="00E96211">
              <w:tab/>
            </w:r>
            <w:r w:rsidRPr="00E96211">
              <w:t xml:space="preserve">Identify a range of mental health </w:t>
            </w:r>
            <w:r w:rsidRPr="00E96211">
              <w:rPr>
                <w:rStyle w:val="Emphasis"/>
              </w:rPr>
              <w:t>consumer</w:t>
            </w:r>
            <w:r w:rsidRPr="00E96211">
              <w:t xml:space="preserve"> and </w:t>
            </w:r>
            <w:r w:rsidRPr="00E96211">
              <w:rPr>
                <w:rStyle w:val="Emphasis"/>
              </w:rPr>
              <w:t>carer</w:t>
            </w:r>
            <w:r w:rsidRPr="00E96211">
              <w:t xml:space="preserve"> networks relevant to peer work</w:t>
            </w:r>
          </w:p>
          <w:p w:rsidR="00000000" w:rsidRPr="00E96211" w:rsidP="00E96211">
            <w:pPr>
              <w:pStyle w:val="BodyText"/>
            </w:pPr>
            <w:r w:rsidRPr="00E96211">
              <w:t xml:space="preserve">1.5 </w:t>
            </w:r>
            <w:r w:rsidRPr="00E96211">
              <w:tab/>
              <w:t>Apply knowledge of the consumer and carer movements</w:t>
            </w:r>
          </w:p>
          <w:p w:rsidR="00000000" w:rsidP="00E96211">
            <w:pPr>
              <w:pStyle w:val="BodyText"/>
              <w:rPr>
                <w:lang w:val="en-NZ"/>
              </w:rPr>
            </w:pPr>
          </w:p>
        </w:tc>
      </w:tr>
      <w:tr w:rsidTr="0044141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E96211" w:rsidP="00E96211">
            <w:pPr>
              <w:pStyle w:val="ListBullet"/>
            </w:pPr>
            <w:r w:rsidRPr="00E96211">
              <w:t xml:space="preserve">Apply the values and central philosophies of mental health peer work </w:t>
            </w:r>
          </w:p>
          <w:p w:rsidR="00000000" w:rsidRPr="00E96211" w:rsidP="00E96211">
            <w:pPr>
              <w:pStyle w:val="BodyText"/>
            </w:pPr>
          </w:p>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96211" w:rsidP="00E96211">
            <w:pPr>
              <w:pStyle w:val="BodyText"/>
            </w:pPr>
            <w:r w:rsidRPr="00E96211">
              <w:t>2.1</w:t>
            </w:r>
            <w:r w:rsidRPr="00E96211">
              <w:tab/>
              <w:t>Identify your own values and how the</w:t>
            </w:r>
            <w:r w:rsidRPr="00E96211">
              <w:t>se may influence/impact peer work</w:t>
            </w:r>
          </w:p>
          <w:p w:rsidR="00000000" w:rsidRPr="00E96211" w:rsidP="00E96211">
            <w:pPr>
              <w:pStyle w:val="BodyText"/>
            </w:pPr>
            <w:r w:rsidRPr="00E96211">
              <w:t xml:space="preserve">2.2 </w:t>
            </w:r>
            <w:r w:rsidRPr="00E96211">
              <w:tab/>
              <w:t>Identify the organisation’s peer work philosophies and how this impacts upon your approach to peer work</w:t>
            </w:r>
          </w:p>
          <w:p w:rsidR="00000000" w:rsidP="00E96211">
            <w:pPr>
              <w:pStyle w:val="BodyText"/>
              <w:rPr>
                <w:lang w:val="en-NZ"/>
              </w:rPr>
            </w:pPr>
            <w:r w:rsidRPr="00E96211">
              <w:t>2.3</w:t>
            </w:r>
            <w:r w:rsidRPr="00E96211">
              <w:tab/>
              <w:t>Apply</w:t>
            </w:r>
            <w:r w:rsidRPr="00E96211">
              <w:rPr>
                <w:rStyle w:val="Emphasis"/>
              </w:rPr>
              <w:t xml:space="preserve"> access and equity principles</w:t>
            </w:r>
            <w:r w:rsidRPr="00E96211">
              <w:t xml:space="preserve"> in peer work</w:t>
            </w:r>
          </w:p>
        </w:tc>
      </w:tr>
      <w:tr w:rsidTr="0044141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96211">
            <w:pPr>
              <w:pStyle w:val="BodyText"/>
              <w:rPr>
                <w:lang w:val="en-NZ"/>
              </w:rPr>
            </w:pPr>
          </w:p>
        </w:tc>
      </w:tr>
      <w:tr w:rsidTr="0044141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96211">
            <w:pPr>
              <w:pStyle w:val="ListBullet"/>
              <w:rPr>
                <w:lang w:val="en-NZ"/>
              </w:rPr>
            </w:pPr>
            <w:r w:rsidRPr="00E96211">
              <w:t>Identify the range of mental health service options</w:t>
            </w:r>
          </w:p>
        </w:tc>
        <w:tc>
          <w:tcPr>
            <w:tcW w:w="5702" w:type="dxa"/>
            <w:tcBorders>
              <w:top w:val="nil"/>
              <w:left w:val="nil"/>
              <w:bottom w:val="nil"/>
              <w:right w:val="nil"/>
            </w:tcBorders>
            <w:tcMar>
              <w:top w:w="0" w:type="dxa"/>
              <w:left w:w="62" w:type="dxa"/>
              <w:bottom w:w="0" w:type="dxa"/>
              <w:right w:w="62" w:type="dxa"/>
            </w:tcMar>
          </w:tcPr>
          <w:p w:rsidR="00000000" w:rsidRPr="00E96211" w:rsidP="00E96211">
            <w:pPr>
              <w:pStyle w:val="BodyText"/>
            </w:pPr>
            <w:r w:rsidRPr="00E96211">
              <w:t>3.1</w:t>
            </w:r>
            <w:r w:rsidRPr="00E96211">
              <w:tab/>
            </w:r>
            <w:r w:rsidRPr="00E96211">
              <w:t xml:space="preserve">Access </w:t>
            </w:r>
            <w:r w:rsidRPr="00E96211">
              <w:rPr>
                <w:rStyle w:val="Emphasis"/>
              </w:rPr>
              <w:t xml:space="preserve">the range of support services provided by consumer peers and carer peers </w:t>
            </w:r>
          </w:p>
          <w:p w:rsidR="00000000" w:rsidRPr="00E96211" w:rsidP="00E96211">
            <w:pPr>
              <w:pStyle w:val="BodyText"/>
            </w:pPr>
            <w:r w:rsidRPr="00E96211">
              <w:t xml:space="preserve">3.2 </w:t>
            </w:r>
            <w:r w:rsidRPr="00E96211">
              <w:tab/>
              <w:t xml:space="preserve">Utilise information about mental health systems and </w:t>
            </w:r>
            <w:r w:rsidRPr="00E96211">
              <w:rPr>
                <w:rStyle w:val="Emphasis"/>
              </w:rPr>
              <w:t>the range of service options available</w:t>
            </w:r>
            <w:r w:rsidRPr="00E96211">
              <w:t xml:space="preserve"> to support the recovery process</w:t>
            </w:r>
          </w:p>
          <w:p w:rsidR="00000000" w:rsidRPr="00E96211" w:rsidP="00E96211">
            <w:pPr>
              <w:pStyle w:val="BodyText"/>
            </w:pPr>
          </w:p>
        </w:tc>
      </w:tr>
    </w:tbl>
    <w:p w:rsidR="00441417" w:rsidP="00E96211">
      <w:pPr>
        <w:pStyle w:val="BodyText"/>
      </w:pPr>
    </w:p>
    <w:p w:rsidR="00441417" w:rsidP="00E96211">
      <w:pPr>
        <w:pStyle w:val="BodyText"/>
      </w:pPr>
    </w:p>
    <w:p w:rsidR="00000000" w:rsidRPr="00E96211" w:rsidP="00E96211">
      <w:pPr>
        <w:pStyle w:val="Heading1"/>
      </w:pPr>
      <w:bookmarkStart w:id="9" w:name="O_451012"/>
      <w:bookmarkEnd w:id="9"/>
      <w:r w:rsidRPr="00E96211">
        <w:t>Required Skills and Knowle</w:t>
      </w:r>
      <w:r w:rsidRPr="00E96211">
        <w:t>dge</w:t>
      </w:r>
    </w:p>
    <w:tbl>
      <w:tblPr>
        <w:tblW w:w="0" w:type="auto"/>
        <w:tblLayout w:type="fixed"/>
        <w:tblCellMar>
          <w:left w:w="62" w:type="dxa"/>
          <w:right w:w="62" w:type="dxa"/>
        </w:tblCellMar>
        <w:tblLook w:val="0000"/>
      </w:tblPr>
      <w:tblGrid>
        <w:gridCol w:w="8964"/>
        <w:gridCol w:w="108"/>
      </w:tblGrid>
      <w:tr w:rsidTr="00E96211">
        <w:tblPrEx>
          <w:tblW w:w="0" w:type="auto"/>
          <w:tblLayout w:type="fixed"/>
          <w:tblCellMar>
            <w:left w:w="62" w:type="dxa"/>
            <w:right w:w="62" w:type="dxa"/>
          </w:tblCellMar>
          <w:tblLook w:val="0000"/>
        </w:tblPrEx>
        <w:trPr>
          <w:gridAfter w:val="1"/>
          <w:wAfter w:w="108" w:type="dxa"/>
        </w:trPr>
        <w:tc>
          <w:tcPr>
            <w:tcW w:w="8964" w:type="dxa"/>
            <w:tcBorders>
              <w:top w:val="nil"/>
              <w:left w:val="nil"/>
              <w:bottom w:val="nil"/>
              <w:right w:val="nil"/>
            </w:tcBorders>
            <w:tcMar>
              <w:top w:w="0" w:type="dxa"/>
              <w:left w:w="62" w:type="dxa"/>
              <w:bottom w:w="0" w:type="dxa"/>
              <w:right w:w="62" w:type="dxa"/>
            </w:tcMar>
          </w:tcPr>
          <w:p w:rsidR="00000000" w:rsidP="00E96211">
            <w:pPr>
              <w:pStyle w:val="BodyText"/>
              <w:rPr>
                <w:lang w:val="en-NZ"/>
              </w:rPr>
            </w:pPr>
            <w:r w:rsidRPr="00E96211">
              <w:t>This describes the essential skills and knowledge and their level required for this unit.</w:t>
            </w:r>
          </w:p>
        </w:tc>
      </w:tr>
      <w:tr w:rsidTr="00E96211">
        <w:tblPrEx>
          <w:tblW w:w="0" w:type="auto"/>
          <w:tblLayout w:type="fixed"/>
          <w:tblCellMar>
            <w:left w:w="62" w:type="dxa"/>
            <w:right w:w="62" w:type="dxa"/>
          </w:tblCellMar>
          <w:tblLook w:val="0000"/>
        </w:tblPrEx>
        <w:trPr>
          <w:gridAfter w:val="1"/>
          <w:wAfter w:w="108" w:type="dxa"/>
          <w:trHeight w:val="191"/>
        </w:trPr>
        <w:tc>
          <w:tcPr>
            <w:tcW w:w="8964" w:type="dxa"/>
            <w:tcBorders>
              <w:top w:val="nil"/>
              <w:left w:val="nil"/>
              <w:bottom w:val="nil"/>
              <w:right w:val="nil"/>
            </w:tcBorders>
            <w:tcMar>
              <w:top w:w="0" w:type="dxa"/>
              <w:left w:w="62" w:type="dxa"/>
              <w:bottom w:w="0" w:type="dxa"/>
              <w:right w:w="62" w:type="dxa"/>
            </w:tcMar>
          </w:tcPr>
          <w:p w:rsidR="00000000" w:rsidP="00E96211">
            <w:pPr>
              <w:pStyle w:val="BodyText"/>
              <w:rPr>
                <w:lang w:val="en-NZ"/>
              </w:rPr>
            </w:pPr>
          </w:p>
        </w:tc>
      </w:tr>
      <w:tr w:rsidTr="00E96211">
        <w:tblPrEx>
          <w:tblW w:w="0" w:type="auto"/>
          <w:tblLayout w:type="fixed"/>
          <w:tblCellMar>
            <w:left w:w="62" w:type="dxa"/>
            <w:right w:w="62" w:type="dxa"/>
          </w:tblCellMar>
          <w:tblLook w:val="0000"/>
        </w:tblPrEx>
        <w:trPr>
          <w:gridAfter w:val="1"/>
          <w:wAfter w:w="108" w:type="dxa"/>
          <w:trHeight w:val="7845"/>
        </w:trPr>
        <w:tc>
          <w:tcPr>
            <w:tcW w:w="8964" w:type="dxa"/>
            <w:tcBorders>
              <w:top w:val="nil"/>
              <w:left w:val="nil"/>
              <w:bottom w:val="nil"/>
              <w:right w:val="nil"/>
            </w:tcBorders>
            <w:tcMar>
              <w:top w:w="0" w:type="dxa"/>
              <w:left w:w="62" w:type="dxa"/>
              <w:bottom w:w="0" w:type="dxa"/>
              <w:right w:w="62" w:type="dxa"/>
            </w:tcMar>
          </w:tcPr>
          <w:p w:rsidR="00000000" w:rsidRPr="00E96211" w:rsidP="00E96211">
            <w:pPr>
              <w:pStyle w:val="BodyText"/>
            </w:pPr>
            <w:r w:rsidRPr="00E96211">
              <w:rPr>
                <w:rStyle w:val="Emphasis"/>
              </w:rPr>
              <w:t>Essential knowledge:</w:t>
            </w:r>
          </w:p>
          <w:p w:rsidR="00000000" w:rsidRPr="00E96211" w:rsidP="00E96211">
            <w:pPr>
              <w:pStyle w:val="BodyText"/>
            </w:pPr>
            <w:r w:rsidRPr="00E96211">
              <w:t>The candidate must be able to demonstrate essential knowledge required to effectively perform task skills; task management skills; contingency management skills and job/role environment skills as outlined in elements and performance criteria of this unit</w:t>
            </w:r>
          </w:p>
          <w:p w:rsidR="00000000" w:rsidRPr="00E96211" w:rsidP="00E96211">
            <w:pPr>
              <w:pStyle w:val="BodyText"/>
            </w:pPr>
            <w:r w:rsidRPr="00E96211">
              <w:t>T</w:t>
            </w:r>
            <w:r w:rsidRPr="00E96211">
              <w:t>hese include sufficient knowledge of the following areas to undertake the role outlined:</w:t>
            </w:r>
          </w:p>
          <w:p w:rsidR="00000000" w:rsidRPr="00E96211" w:rsidP="00E96211">
            <w:pPr>
              <w:pStyle w:val="ListBullet"/>
            </w:pPr>
            <w:r w:rsidRPr="00E96211">
              <w:t>Complaints processes of the organisation and sector</w:t>
            </w:r>
          </w:p>
          <w:p w:rsidR="00000000" w:rsidRPr="00E96211" w:rsidP="00E96211">
            <w:pPr>
              <w:pStyle w:val="ListBullet"/>
            </w:pPr>
            <w:r w:rsidRPr="00E96211">
              <w:t>Historical, social, political and economic contexts of mental health services and mental health consumer and carer</w:t>
            </w:r>
            <w:r w:rsidRPr="00E96211">
              <w:t xml:space="preserve"> movements including impacts of mental health systems on consumers and carers</w:t>
            </w:r>
          </w:p>
          <w:p w:rsidR="00000000" w:rsidRPr="00E96211" w:rsidP="00E96211">
            <w:pPr>
              <w:pStyle w:val="ListBullet"/>
            </w:pPr>
            <w:r w:rsidRPr="00E96211">
              <w:t>Philosophical, ethical and values based approaches to peer work</w:t>
            </w:r>
          </w:p>
          <w:p w:rsidR="00000000" w:rsidRPr="00E96211" w:rsidP="00E96211">
            <w:pPr>
              <w:pStyle w:val="ListBullet"/>
            </w:pPr>
            <w:r w:rsidRPr="00E96211">
              <w:t>International and national developments in consumer and carer peer work</w:t>
            </w:r>
          </w:p>
          <w:p w:rsidR="00000000" w:rsidRPr="00E96211" w:rsidP="00E96211">
            <w:pPr>
              <w:pStyle w:val="ListBullet"/>
            </w:pPr>
            <w:r w:rsidRPr="00E96211">
              <w:t>History and context of self-directed recov</w:t>
            </w:r>
            <w:r w:rsidRPr="00E96211">
              <w:t xml:space="preserve">ery and recovery principles, facilitation, pathways and practices </w:t>
            </w:r>
          </w:p>
          <w:p w:rsidR="00000000" w:rsidRPr="00E96211" w:rsidP="00E96211">
            <w:pPr>
              <w:pStyle w:val="ListBullet"/>
            </w:pPr>
            <w:r w:rsidRPr="00E96211">
              <w:t>Impacts and different types of stigma for consumers and carers including self-stigma, individual stigma, community stigma, prejudice and discrimination on the recovery journey</w:t>
            </w:r>
          </w:p>
          <w:p w:rsidR="00000000" w:rsidRPr="00E96211" w:rsidP="00E96211">
            <w:pPr>
              <w:pStyle w:val="ListBullet"/>
            </w:pPr>
            <w:r w:rsidRPr="00E96211">
              <w:t>Social justice issues, principles and approaches including working from a rights based framework and awareness of the rights and responsibilities of consumer and carers and peer workers</w:t>
            </w:r>
          </w:p>
          <w:p w:rsidR="00000000" w:rsidRPr="00E96211" w:rsidP="00E96211">
            <w:pPr>
              <w:pStyle w:val="ListBullet"/>
            </w:pPr>
            <w:r w:rsidRPr="00E96211">
              <w:t>Different understandings of mental illness and distress/issues</w:t>
            </w:r>
          </w:p>
          <w:p w:rsidR="00000000" w:rsidRPr="00E96211" w:rsidP="00E96211">
            <w:pPr>
              <w:pStyle w:val="ListBullet"/>
            </w:pPr>
            <w:r w:rsidRPr="00E96211">
              <w:t>Princip</w:t>
            </w:r>
            <w:r w:rsidRPr="00E96211">
              <w:t>les and practices of duty of care as these apply to peer work</w:t>
            </w:r>
          </w:p>
          <w:p w:rsidR="00000000" w:rsidRPr="00E96211" w:rsidP="00E96211">
            <w:pPr>
              <w:pStyle w:val="ListBullet"/>
            </w:pPr>
            <w:r w:rsidRPr="00E96211">
              <w:t>Relevant legislation, standards and policies, that relate to mental health services and peer work</w:t>
            </w:r>
          </w:p>
          <w:p w:rsidR="00000000" w:rsidRPr="00E96211" w:rsidP="00E96211">
            <w:pPr>
              <w:pStyle w:val="ListBullet"/>
            </w:pPr>
            <w:r w:rsidRPr="00E96211">
              <w:t>Language, meaning and terminology in relation to mental health and peer work including dignity o</w:t>
            </w:r>
            <w:r w:rsidRPr="00E96211">
              <w:t>f risk and first person language</w:t>
            </w:r>
          </w:p>
          <w:p w:rsidR="00000000" w:rsidP="00E96211">
            <w:pPr>
              <w:pStyle w:val="BodyText"/>
              <w:rPr>
                <w:lang w:val="en-NZ"/>
              </w:rPr>
            </w:pPr>
          </w:p>
        </w:tc>
      </w:tr>
      <w:tr w:rsidTr="00E9621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E96211" w:rsidP="00E96211">
            <w:pPr>
              <w:pStyle w:val="BodyText"/>
            </w:pPr>
            <w:r w:rsidRPr="00E96211">
              <w:t>Essential skills:</w:t>
            </w:r>
          </w:p>
          <w:p w:rsidR="00000000" w:rsidRPr="00E96211" w:rsidP="00E96211">
            <w:pPr>
              <w:pStyle w:val="BodyText"/>
            </w:pPr>
            <w:r w:rsidRPr="00E96211">
              <w:t>The candidate must be able to::</w:t>
            </w:r>
          </w:p>
          <w:p w:rsidR="00000000" w:rsidRPr="00E96211" w:rsidP="00E96211">
            <w:pPr>
              <w:pStyle w:val="BodyText"/>
            </w:pPr>
            <w:r w:rsidRPr="00E96211">
              <w:t>• Apply and promote the underpinning values, ethics and philosophies of mental health peer work in all aspects of work</w:t>
            </w:r>
          </w:p>
          <w:p w:rsidR="00000000" w:rsidRPr="00E96211" w:rsidP="00E96211">
            <w:pPr>
              <w:pStyle w:val="BodyText"/>
            </w:pPr>
            <w:r w:rsidRPr="00E96211">
              <w:t>• Communicate effectively with clinicians, consumers</w:t>
            </w:r>
            <w:r w:rsidRPr="00E96211">
              <w:t xml:space="preserve">/carers and other service providers </w:t>
            </w:r>
          </w:p>
          <w:p w:rsidR="00000000" w:rsidRPr="00E96211" w:rsidP="00E96211">
            <w:pPr>
              <w:pStyle w:val="BodyText"/>
            </w:pPr>
            <w:r w:rsidRPr="00E96211">
              <w:t>• Maintain confidentiality and explain limits of confidentiality</w:t>
            </w:r>
          </w:p>
          <w:p w:rsidR="00000000" w:rsidRPr="00E96211" w:rsidP="00E96211">
            <w:pPr>
              <w:pStyle w:val="BodyText"/>
            </w:pPr>
            <w:r w:rsidRPr="00E96211">
              <w:t>• Use inclusive and person first language</w:t>
            </w:r>
          </w:p>
          <w:p w:rsidR="00000000" w:rsidRPr="00E96211" w:rsidP="00E96211">
            <w:pPr>
              <w:pStyle w:val="BodyText"/>
            </w:pPr>
            <w:r w:rsidRPr="00E96211">
              <w:t>• Use the consumer’s or carers preferred language and terminology and their personal meaning and interpretations</w:t>
            </w:r>
          </w:p>
          <w:p w:rsidR="00000000" w:rsidRPr="00E96211" w:rsidP="00E96211">
            <w:pPr>
              <w:pStyle w:val="BodyText"/>
            </w:pPr>
            <w:r w:rsidRPr="00E96211">
              <w:t>• Apply an understanding of relevant legislation and standards in mental health peer work</w:t>
            </w:r>
          </w:p>
          <w:p w:rsidR="00000000" w:rsidRPr="00E96211" w:rsidP="00E96211">
            <w:pPr>
              <w:pStyle w:val="BodyText"/>
            </w:pPr>
            <w:r w:rsidRPr="00E96211">
              <w:t>• Access and be informed by contemporary and emergent literature on mental health peer work and practices</w:t>
            </w:r>
          </w:p>
        </w:tc>
      </w:tr>
    </w:tbl>
    <w:p w:rsidR="00441417" w:rsidP="00E96211">
      <w:pPr>
        <w:pStyle w:val="BodyText"/>
      </w:pPr>
    </w:p>
    <w:p w:rsidR="00441417" w:rsidP="00E96211">
      <w:pPr>
        <w:pStyle w:val="BodyText"/>
      </w:pPr>
    </w:p>
    <w:p w:rsidR="00000000" w:rsidRPr="00E96211" w:rsidP="00E96211">
      <w:pPr>
        <w:pStyle w:val="Heading1"/>
      </w:pPr>
      <w:bookmarkStart w:id="10" w:name="O_451013"/>
      <w:bookmarkEnd w:id="10"/>
      <w:r w:rsidRPr="00E96211">
        <w:t>Evidence Guide</w:t>
      </w:r>
    </w:p>
    <w:p w:rsidR="00000000" w:rsidRPr="00E96211" w:rsidP="00E96211">
      <w:pPr>
        <w:pStyle w:val="BodyText"/>
      </w:pPr>
    </w:p>
    <w:tbl>
      <w:tblPr>
        <w:tblW w:w="0" w:type="auto"/>
        <w:tblLayout w:type="fixed"/>
        <w:tblCellMar>
          <w:left w:w="62" w:type="dxa"/>
          <w:right w:w="62" w:type="dxa"/>
        </w:tblCellMar>
        <w:tblLook w:val="0000"/>
      </w:tblPr>
      <w:tblGrid>
        <w:gridCol w:w="3294"/>
        <w:gridCol w:w="5670"/>
      </w:tblGrid>
      <w:tr w:rsidTr="00E96211">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E96211">
            <w:pPr>
              <w:pStyle w:val="BodyText"/>
              <w:rPr>
                <w:lang w:val="en-NZ"/>
              </w:rPr>
            </w:pPr>
            <w:r w:rsidRPr="00E96211">
              <w:rPr>
                <w:rStyle w:val="SpecialBold"/>
              </w:rPr>
              <w:t>EVIDENCE GUIDE</w:t>
            </w:r>
          </w:p>
        </w:tc>
      </w:tr>
      <w:tr w:rsidTr="00E96211">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E96211">
            <w:pPr>
              <w:pStyle w:val="BodyText"/>
              <w:rPr>
                <w:lang w:val="en-NZ"/>
              </w:rPr>
            </w:pPr>
          </w:p>
        </w:tc>
      </w:tr>
      <w:tr w:rsidTr="00E96211">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E96211">
            <w:pPr>
              <w:pStyle w:val="BodyText"/>
              <w:rPr>
                <w:lang w:val="en-NZ"/>
              </w:rPr>
            </w:pPr>
            <w:r w:rsidRPr="00E96211">
              <w:t>The evidence guide provides advice on assessment and must be read in conjunction with the Performance Criteria, Required Skills and Knowledge, the Range Statement and the Assessment Guidelines for this Training Package.</w:t>
            </w:r>
          </w:p>
        </w:tc>
      </w:tr>
      <w:tr w:rsidTr="00E96211">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E96211">
            <w:pPr>
              <w:pStyle w:val="BodyText"/>
              <w:rPr>
                <w:lang w:val="en-NZ"/>
              </w:rPr>
            </w:pPr>
          </w:p>
        </w:tc>
      </w:tr>
      <w:tr w:rsidTr="00E96211">
        <w:tblPrEx>
          <w:tblW w:w="0" w:type="auto"/>
          <w:tblLayout w:type="fixed"/>
          <w:tblCellMar>
            <w:left w:w="62" w:type="dxa"/>
            <w:right w:w="62" w:type="dxa"/>
          </w:tblCellMar>
          <w:tblLook w:val="0000"/>
        </w:tblPrEx>
        <w:trPr>
          <w:trHeight w:val="2417"/>
        </w:trPr>
        <w:tc>
          <w:tcPr>
            <w:tcW w:w="3294" w:type="dxa"/>
            <w:tcBorders>
              <w:top w:val="nil"/>
              <w:left w:val="nil"/>
              <w:bottom w:val="nil"/>
              <w:right w:val="nil"/>
            </w:tcBorders>
            <w:tcMar>
              <w:top w:w="0" w:type="dxa"/>
              <w:left w:w="62" w:type="dxa"/>
              <w:bottom w:w="0" w:type="dxa"/>
              <w:right w:w="62" w:type="dxa"/>
            </w:tcMar>
          </w:tcPr>
          <w:p w:rsidR="00000000" w:rsidP="00E96211">
            <w:pPr>
              <w:pStyle w:val="BodyText"/>
              <w:rPr>
                <w:lang w:val="en-NZ"/>
              </w:rPr>
            </w:pPr>
            <w:r w:rsidRPr="00E96211">
              <w:rPr>
                <w:rStyle w:val="Emphasis"/>
              </w:rPr>
              <w:t>Critical aspects for assessment</w:t>
            </w:r>
            <w:r w:rsidRPr="00E96211">
              <w:rPr>
                <w:rStyle w:val="Emphasis"/>
              </w:rPr>
              <w:t xml:space="preserve"> and evidence required to demonstrate this unit of competency: </w:t>
            </w:r>
          </w:p>
        </w:tc>
        <w:tc>
          <w:tcPr>
            <w:tcW w:w="5670" w:type="dxa"/>
            <w:tcBorders>
              <w:top w:val="nil"/>
              <w:left w:val="nil"/>
              <w:bottom w:val="nil"/>
              <w:right w:val="nil"/>
            </w:tcBorders>
            <w:tcMar>
              <w:top w:w="0" w:type="dxa"/>
              <w:left w:w="62" w:type="dxa"/>
              <w:bottom w:w="0" w:type="dxa"/>
              <w:right w:w="62" w:type="dxa"/>
            </w:tcMar>
          </w:tcPr>
          <w:p w:rsidR="00000000" w:rsidRPr="00E96211" w:rsidP="00E96211">
            <w:pPr>
              <w:pStyle w:val="ListBullet"/>
            </w:pPr>
            <w:r w:rsidRPr="00E96211">
              <w:t>The individual being assessed must provide evidence of specified essential knowledge as well as skills</w:t>
            </w:r>
          </w:p>
          <w:p w:rsidR="00000000" w:rsidRPr="00E96211" w:rsidP="00E96211">
            <w:pPr>
              <w:pStyle w:val="ListBullet"/>
            </w:pPr>
            <w:r w:rsidRPr="00E96211">
              <w:t>This unit is best assessed on the job or in a simulated workplace under the normal range</w:t>
            </w:r>
            <w:r w:rsidRPr="00E96211">
              <w:t xml:space="preserve"> of conditions</w:t>
            </w:r>
          </w:p>
          <w:p w:rsidR="00000000" w:rsidRPr="00E96211" w:rsidP="00E96211">
            <w:pPr>
              <w:pStyle w:val="ListBullet"/>
            </w:pPr>
            <w:r w:rsidRPr="00E96211">
              <w:t>Consistency in performance should consider the requirements of the particular workplace context</w:t>
            </w:r>
          </w:p>
          <w:p w:rsidR="00000000" w:rsidP="00E96211">
            <w:pPr>
              <w:pStyle w:val="ListBullet"/>
              <w:rPr>
                <w:lang w:val="en-NZ"/>
              </w:rPr>
            </w:pPr>
            <w:r w:rsidRPr="00E96211">
              <w:t>The candidate must show evidence of being able to identify the context of mental health peer work and apply the values and philosophies of the ar</w:t>
            </w:r>
            <w:r w:rsidRPr="00E96211">
              <w:t>ea to their own work role</w:t>
            </w:r>
          </w:p>
        </w:tc>
      </w:tr>
      <w:tr w:rsidTr="00E96211">
        <w:tblPrEx>
          <w:tblW w:w="0" w:type="auto"/>
          <w:tblLayout w:type="fixed"/>
          <w:tblCellMar>
            <w:left w:w="62" w:type="dxa"/>
            <w:right w:w="62" w:type="dxa"/>
          </w:tblCellMar>
          <w:tblLook w:val="0000"/>
        </w:tblPrEx>
        <w:trPr>
          <w:trHeight w:val="344"/>
        </w:trPr>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6211">
            <w:pPr>
              <w:pStyle w:val="BodyText"/>
              <w:rPr>
                <w:lang w:val="en-NZ"/>
              </w:rPr>
            </w:pPr>
          </w:p>
        </w:tc>
      </w:tr>
      <w:tr w:rsidTr="00E96211">
        <w:tblPrEx>
          <w:tblW w:w="0" w:type="auto"/>
          <w:tblLayout w:type="fixed"/>
          <w:tblCellMar>
            <w:left w:w="62" w:type="dxa"/>
            <w:right w:w="62" w:type="dxa"/>
          </w:tblCellMar>
          <w:tblLook w:val="0000"/>
        </w:tblPrEx>
        <w:trPr>
          <w:trHeight w:val="2417"/>
        </w:trPr>
        <w:tc>
          <w:tcPr>
            <w:tcW w:w="3294" w:type="dxa"/>
            <w:tcBorders>
              <w:top w:val="nil"/>
              <w:left w:val="nil"/>
              <w:bottom w:val="nil"/>
              <w:right w:val="nil"/>
            </w:tcBorders>
            <w:tcMar>
              <w:top w:w="0" w:type="dxa"/>
              <w:left w:w="62" w:type="dxa"/>
              <w:bottom w:w="0" w:type="dxa"/>
              <w:right w:w="62" w:type="dxa"/>
            </w:tcMar>
          </w:tcPr>
          <w:p w:rsidR="00000000" w:rsidP="00E96211">
            <w:pPr>
              <w:pStyle w:val="BodyText"/>
              <w:rPr>
                <w:lang w:val="en-NZ"/>
              </w:rPr>
            </w:pPr>
            <w:r w:rsidRPr="00E96211">
              <w:rPr>
                <w:rStyle w:val="Emphasis"/>
              </w:rPr>
              <w:t>Conditions of assessment:</w:t>
            </w:r>
          </w:p>
        </w:tc>
        <w:tc>
          <w:tcPr>
            <w:tcW w:w="5670" w:type="dxa"/>
            <w:tcBorders>
              <w:top w:val="nil"/>
              <w:left w:val="nil"/>
              <w:bottom w:val="nil"/>
              <w:right w:val="nil"/>
            </w:tcBorders>
            <w:tcMar>
              <w:top w:w="0" w:type="dxa"/>
              <w:left w:w="62" w:type="dxa"/>
              <w:bottom w:w="0" w:type="dxa"/>
              <w:right w:w="62" w:type="dxa"/>
            </w:tcMar>
          </w:tcPr>
          <w:p w:rsidR="00000000" w:rsidRPr="00E96211" w:rsidP="00E96211">
            <w:pPr>
              <w:pStyle w:val="ListBullet"/>
            </w:pPr>
            <w:r w:rsidRPr="00E96211">
              <w:t xml:space="preserve">This unit includes skills and knowledge specific to mental health peer work </w:t>
            </w:r>
          </w:p>
          <w:p w:rsidR="00000000" w:rsidRPr="00E96211" w:rsidP="00E96211">
            <w:pPr>
              <w:pStyle w:val="ListBullet"/>
            </w:pPr>
            <w:r w:rsidRPr="00E96211">
              <w:t>Assessment must be undertaken by a qualified Assessor [</w:t>
            </w:r>
            <w:r w:rsidRPr="00E96211">
              <w:t xml:space="preserve">as determined by the Australian Quality Training Framework] who has lived experience </w:t>
            </w:r>
            <w:r w:rsidRPr="00E96211">
              <w:rPr>
                <w:rStyle w:val="SpecialBold"/>
              </w:rPr>
              <w:t>and</w:t>
            </w:r>
            <w:r w:rsidRPr="00E96211">
              <w:t xml:space="preserve"> holds this unit of competency or demonstrated equivalent competencies </w:t>
            </w:r>
          </w:p>
          <w:p w:rsidR="00000000" w:rsidRPr="00E96211" w:rsidP="00E96211">
            <w:pPr>
              <w:pStyle w:val="BodyText"/>
            </w:pPr>
          </w:p>
          <w:p w:rsidR="00000000" w:rsidRPr="00E96211" w:rsidP="00E96211">
            <w:pPr>
              <w:pStyle w:val="BodyText"/>
            </w:pPr>
            <w:r w:rsidRPr="00E96211">
              <w:rPr>
                <w:rStyle w:val="SpecialBold"/>
              </w:rPr>
              <w:t xml:space="preserve">OR </w:t>
            </w:r>
          </w:p>
          <w:p w:rsidR="00000000" w:rsidRPr="00E96211" w:rsidP="00E96211">
            <w:pPr>
              <w:pStyle w:val="BodyText"/>
            </w:pPr>
          </w:p>
          <w:p w:rsidR="00000000" w:rsidRPr="00E96211" w:rsidP="00E96211">
            <w:pPr>
              <w:pStyle w:val="ListBullet"/>
            </w:pPr>
            <w:r w:rsidRPr="00E96211">
              <w:t xml:space="preserve">A consumer/carer him/herself who has lived experience and demonstrated experience </w:t>
            </w:r>
            <w:r w:rsidRPr="00E96211">
              <w:t xml:space="preserve">in a consumer peer worker or carer peer worker role </w:t>
            </w:r>
          </w:p>
          <w:p w:rsidR="00000000" w:rsidRPr="00E96211" w:rsidP="00E96211">
            <w:pPr>
              <w:pStyle w:val="ListBullet"/>
            </w:pPr>
            <w:r w:rsidRPr="00E96211">
              <w:t xml:space="preserve">accompanied by a qualified Assessor who has the necessary assessment competencies [as determined by the Australian Quality Training Framework] </w:t>
            </w:r>
          </w:p>
          <w:p w:rsidR="00000000" w:rsidRPr="00E96211" w:rsidP="00E96211">
            <w:pPr>
              <w:pStyle w:val="BodyText"/>
            </w:pPr>
          </w:p>
          <w:p w:rsidR="00000000" w:rsidRPr="00E96211" w:rsidP="00E96211">
            <w:pPr>
              <w:pStyle w:val="ListBullet"/>
            </w:pPr>
            <w:r w:rsidRPr="00E96211">
              <w:t>Where the candidate being assessed in a consumer peer wor</w:t>
            </w:r>
            <w:r w:rsidRPr="00E96211">
              <w:t>ker context, they must be assessed by an experienced consumer peer worker with lived experience (and a qualified Assessor where the consumer peer worker is not a qualified assessor)</w:t>
            </w:r>
          </w:p>
          <w:p w:rsidR="00000000" w:rsidP="00E96211">
            <w:pPr>
              <w:pStyle w:val="ListBullet"/>
              <w:rPr>
                <w:lang w:val="en-NZ"/>
              </w:rPr>
            </w:pPr>
            <w:r w:rsidRPr="00E96211">
              <w:t>Where the candidate is being assessed in a carer peer worker context, they</w:t>
            </w:r>
            <w:r w:rsidRPr="00E96211">
              <w:t xml:space="preserve"> must be assessed by an experienced carer peer worker who has lived experience (and a qualified assessor where the carer peer worker is not a qualified assessor)</w:t>
            </w:r>
          </w:p>
        </w:tc>
      </w:tr>
      <w:tr w:rsidTr="00E96211">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6211">
            <w:pPr>
              <w:pStyle w:val="BodyText"/>
              <w:rPr>
                <w:lang w:val="en-NZ"/>
              </w:rPr>
            </w:pPr>
          </w:p>
        </w:tc>
      </w:tr>
      <w:tr w:rsidTr="00E96211">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E96211">
            <w:pPr>
              <w:pStyle w:val="BodyText"/>
              <w:rPr>
                <w:lang w:val="en-NZ"/>
              </w:rPr>
            </w:pPr>
            <w:r w:rsidRPr="00E96211">
              <w:rPr>
                <w:rStyle w:val="Emphasis"/>
              </w:rPr>
              <w:t>Access and equity considerations:</w:t>
            </w:r>
          </w:p>
        </w:tc>
        <w:tc>
          <w:tcPr>
            <w:tcW w:w="5670" w:type="dxa"/>
            <w:tcBorders>
              <w:top w:val="nil"/>
              <w:left w:val="nil"/>
              <w:bottom w:val="nil"/>
              <w:right w:val="nil"/>
            </w:tcBorders>
            <w:tcMar>
              <w:top w:w="0" w:type="dxa"/>
              <w:left w:w="62" w:type="dxa"/>
              <w:bottom w:w="0" w:type="dxa"/>
              <w:right w:w="62" w:type="dxa"/>
            </w:tcMar>
          </w:tcPr>
          <w:p w:rsidR="00000000" w:rsidRPr="00E96211" w:rsidP="00E96211">
            <w:pPr>
              <w:pStyle w:val="ListBullet"/>
            </w:pPr>
            <w:r w:rsidRPr="00E96211">
              <w:t>All wor</w:t>
            </w:r>
            <w:r w:rsidRPr="00E96211">
              <w:t>kers in community services should be aware of access, equity and human rights issues in relation to their own area of work</w:t>
            </w:r>
          </w:p>
          <w:p w:rsidR="00000000" w:rsidRPr="00E96211" w:rsidP="00E96211">
            <w:pPr>
              <w:pStyle w:val="ListBullet"/>
            </w:pPr>
            <w:r w:rsidRPr="00E96211">
              <w:t>Assessors and trainers must take into account relevant access and equity issues, in particular relating to factors impacting on Abori</w:t>
            </w:r>
            <w:r w:rsidRPr="00E96211">
              <w:t>ginal and/or Torres Strait Islander clients and communities</w:t>
            </w:r>
          </w:p>
          <w:p w:rsidR="00000000" w:rsidRPr="00E96211" w:rsidP="00E96211">
            <w:pPr>
              <w:pStyle w:val="ListBullet"/>
            </w:pPr>
            <w:r w:rsidRPr="00E96211">
              <w:t xml:space="preserve">All workers should develop their ability to work in a culturally and linguistically diverse environment </w:t>
            </w:r>
          </w:p>
          <w:p w:rsidR="00000000" w:rsidRPr="00E96211" w:rsidP="00E96211">
            <w:pPr>
              <w:pStyle w:val="ListBullet"/>
            </w:pPr>
            <w:r w:rsidRPr="00E96211">
              <w:t>In recognition of particular issues facing Aboriginal and Torres Strait Islander communitie</w:t>
            </w:r>
            <w:r w:rsidRPr="00E96211">
              <w:t>s, workers should be aware of cultural, historical and current issues impacting on Aboriginal and Torres Strait Islander people</w:t>
            </w:r>
          </w:p>
          <w:p w:rsidR="00000000" w:rsidRPr="00E96211" w:rsidP="00E96211">
            <w:pPr>
              <w:pStyle w:val="ListBullet"/>
            </w:pPr>
            <w:r w:rsidRPr="00E96211">
              <w:t xml:space="preserve">Assessors and trainers must take into account relevant access and equity issues, in particular relating to factors impacting on </w:t>
            </w:r>
            <w:r w:rsidRPr="00E96211">
              <w:t xml:space="preserve">Aboriginal and Torres Strait Islander people communities </w:t>
            </w:r>
          </w:p>
          <w:p w:rsidR="00000000" w:rsidRPr="00E96211" w:rsidP="00E96211">
            <w:pPr>
              <w:pStyle w:val="ListBullet"/>
            </w:pPr>
            <w:r w:rsidRPr="00E96211">
              <w:t xml:space="preserve">In recognition of particular issues facing culturally and linguistically [CALD] diverse communities, workers should be aware of cultural and current issues impacting on CALD groups </w:t>
            </w:r>
          </w:p>
          <w:p w:rsidR="00000000" w:rsidP="00E96211">
            <w:pPr>
              <w:pStyle w:val="ListBullet"/>
              <w:rPr>
                <w:lang w:val="en-NZ"/>
              </w:rPr>
            </w:pPr>
            <w:r w:rsidRPr="00E96211">
              <w:t>Assessors and tr</w:t>
            </w:r>
            <w:r w:rsidRPr="00E96211">
              <w:t xml:space="preserve">ainers must take into account relevant access and equity issues, in particular relating to factors impacting on individuals from culturally and linguistically diverse communities </w:t>
            </w:r>
          </w:p>
        </w:tc>
      </w:tr>
      <w:tr w:rsidTr="00E96211">
        <w:tblPrEx>
          <w:tblW w:w="0" w:type="auto"/>
          <w:tblLayout w:type="fixed"/>
          <w:tblCellMar>
            <w:left w:w="62" w:type="dxa"/>
            <w:right w:w="62" w:type="dxa"/>
          </w:tblCellMar>
          <w:tblLook w:val="0000"/>
        </w:tblPrEx>
        <w:trPr>
          <w:trHeight w:val="547"/>
        </w:trPr>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6211">
            <w:pPr>
              <w:pStyle w:val="BodyText"/>
              <w:rPr>
                <w:lang w:val="en-NZ"/>
              </w:rPr>
            </w:pPr>
          </w:p>
        </w:tc>
      </w:tr>
      <w:tr w:rsidTr="00E96211">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E96211">
            <w:pPr>
              <w:pStyle w:val="BodyText"/>
              <w:rPr>
                <w:lang w:val="en-NZ"/>
              </w:rPr>
            </w:pPr>
            <w:r w:rsidRPr="00E96211">
              <w:rPr>
                <w:rStyle w:val="Emphasis"/>
              </w:rPr>
              <w:t xml:space="preserve">Context of and specific resources for assessment: </w:t>
            </w:r>
          </w:p>
        </w:tc>
        <w:tc>
          <w:tcPr>
            <w:tcW w:w="5670" w:type="dxa"/>
            <w:tcBorders>
              <w:top w:val="nil"/>
              <w:left w:val="nil"/>
              <w:bottom w:val="nil"/>
              <w:right w:val="nil"/>
            </w:tcBorders>
            <w:tcMar>
              <w:top w:w="0" w:type="dxa"/>
              <w:left w:w="62" w:type="dxa"/>
              <w:bottom w:w="0" w:type="dxa"/>
              <w:right w:w="62" w:type="dxa"/>
            </w:tcMar>
          </w:tcPr>
          <w:p w:rsidR="00000000" w:rsidRPr="00E96211" w:rsidP="00E96211">
            <w:pPr>
              <w:pStyle w:val="ListBullet"/>
            </w:pPr>
            <w:r w:rsidRPr="00E96211">
              <w:t>This unit can be assessed independently, however holistic assessment practice with other community services units of competency is encouraged</w:t>
            </w:r>
          </w:p>
          <w:p w:rsidR="00000000" w:rsidP="00E96211">
            <w:pPr>
              <w:pStyle w:val="ListBullet"/>
              <w:rPr>
                <w:lang w:val="en-NZ"/>
              </w:rPr>
            </w:pPr>
            <w:r w:rsidRPr="00E96211">
              <w:t>Resources required for assessment of this unit include access to a workplace or simulated workplace where assessme</w:t>
            </w:r>
            <w:r w:rsidRPr="00E96211">
              <w:t>nt may occur</w:t>
            </w:r>
          </w:p>
        </w:tc>
      </w:tr>
      <w:tr w:rsidTr="00E96211">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6211">
            <w:pPr>
              <w:pStyle w:val="BodyText"/>
              <w:rPr>
                <w:lang w:val="en-NZ"/>
              </w:rPr>
            </w:pPr>
          </w:p>
        </w:tc>
      </w:tr>
      <w:tr w:rsidTr="00E96211">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E96211">
            <w:pPr>
              <w:pStyle w:val="BodyText"/>
              <w:rPr>
                <w:lang w:val="en-NZ"/>
              </w:rPr>
            </w:pPr>
            <w:r w:rsidRPr="00E96211">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E96211" w:rsidP="00E96211">
            <w:pPr>
              <w:pStyle w:val="ListBullet"/>
            </w:pPr>
            <w:r w:rsidRPr="00E96211">
              <w:t>In cases where the learner does not have the opportunity to cover all relevant aspects in the work environment, the remainder should be assessed through realistic simulations, projects, previous relevant experience o</w:t>
            </w:r>
            <w:r w:rsidRPr="00E96211">
              <w:t>r oral questioning on ‘What if?’ scenarios</w:t>
            </w:r>
          </w:p>
          <w:p w:rsidR="00000000" w:rsidRPr="00E96211" w:rsidP="00E96211">
            <w:pPr>
              <w:pStyle w:val="ListBullet"/>
            </w:pPr>
            <w:r w:rsidRPr="00E96211">
              <w:t>Assessment of this unit of competence will usually include observation of processes and procedures, oral and/or written questioning on essential knowledge and skills and consideration of required attitudes</w:t>
            </w:r>
          </w:p>
          <w:p w:rsidR="00000000" w:rsidRPr="00E96211" w:rsidP="00E96211">
            <w:pPr>
              <w:pStyle w:val="ListBullet"/>
            </w:pPr>
            <w:r w:rsidRPr="00E96211">
              <w:t>Where performance is not directly observed and/or is required to be demonstrated over a ‘period of time’ and/or in a ‘number of locations’, any evidence should be authenticated by colleagues, supervisors, or other appropriate persons</w:t>
            </w:r>
          </w:p>
        </w:tc>
      </w:tr>
    </w:tbl>
    <w:p w:rsidR="00441417" w:rsidP="00E96211">
      <w:pPr>
        <w:pStyle w:val="ListBullet"/>
      </w:pPr>
    </w:p>
    <w:p w:rsidR="00441417" w:rsidP="00E96211">
      <w:pPr>
        <w:pStyle w:val="ListBullet"/>
      </w:pPr>
    </w:p>
    <w:p w:rsidR="00000000" w:rsidRPr="00E96211" w:rsidP="00E96211">
      <w:pPr>
        <w:pStyle w:val="Heading1"/>
      </w:pPr>
      <w:bookmarkStart w:id="11" w:name="O_451014"/>
      <w:bookmarkEnd w:id="11"/>
      <w:r w:rsidRPr="00E96211">
        <w:t>R</w:t>
      </w:r>
      <w:r w:rsidRPr="00E96211">
        <w:t>ange Statement</w:t>
      </w:r>
    </w:p>
    <w:tbl>
      <w:tblPr>
        <w:tblW w:w="9322" w:type="dxa"/>
        <w:tblLayout w:type="fixed"/>
        <w:tblCellMar>
          <w:left w:w="62" w:type="dxa"/>
          <w:right w:w="62" w:type="dxa"/>
        </w:tblCellMar>
        <w:tblLook w:val="0000"/>
      </w:tblPr>
      <w:tblGrid>
        <w:gridCol w:w="3333"/>
        <w:gridCol w:w="5989"/>
      </w:tblGrid>
      <w:tr w:rsidTr="00E96211">
        <w:tblPrEx>
          <w:tblW w:w="9322" w:type="dxa"/>
          <w:tblLayout w:type="fixed"/>
          <w:tblCellMar>
            <w:left w:w="62" w:type="dxa"/>
            <w:right w:w="62" w:type="dxa"/>
          </w:tblCellMar>
          <w:tblLook w:val="0000"/>
        </w:tblPrEx>
        <w:trPr>
          <w:tblHeader/>
        </w:trPr>
        <w:tc>
          <w:tcPr>
            <w:tcW w:w="9322" w:type="dxa"/>
            <w:gridSpan w:val="2"/>
            <w:tcBorders>
              <w:top w:val="nil"/>
              <w:left w:val="nil"/>
              <w:bottom w:val="nil"/>
              <w:right w:val="nil"/>
            </w:tcBorders>
            <w:tcMar>
              <w:top w:w="0" w:type="dxa"/>
              <w:left w:w="62" w:type="dxa"/>
              <w:bottom w:w="0" w:type="dxa"/>
              <w:right w:w="62" w:type="dxa"/>
            </w:tcMar>
          </w:tcPr>
          <w:p w:rsidR="00000000" w:rsidP="00E96211">
            <w:pPr>
              <w:pStyle w:val="Heading3"/>
              <w:rPr>
                <w:lang w:val="en-NZ"/>
              </w:rPr>
            </w:pPr>
          </w:p>
        </w:tc>
      </w:tr>
      <w:tr w:rsidTr="00E96211">
        <w:tblPrEx>
          <w:tblW w:w="9322" w:type="dxa"/>
          <w:tblLayout w:type="fixed"/>
          <w:tblCellMar>
            <w:left w:w="62" w:type="dxa"/>
            <w:right w:w="62" w:type="dxa"/>
          </w:tblCellMar>
          <w:tblLook w:val="0000"/>
        </w:tblPrEx>
        <w:trPr>
          <w:tblHeader/>
        </w:trPr>
        <w:tc>
          <w:tcPr>
            <w:tcW w:w="9322" w:type="dxa"/>
            <w:gridSpan w:val="2"/>
            <w:tcBorders>
              <w:top w:val="nil"/>
              <w:left w:val="nil"/>
              <w:bottom w:val="nil"/>
              <w:right w:val="nil"/>
            </w:tcBorders>
            <w:tcMar>
              <w:top w:w="0" w:type="dxa"/>
              <w:left w:w="62" w:type="dxa"/>
              <w:bottom w:w="0" w:type="dxa"/>
              <w:right w:w="62" w:type="dxa"/>
            </w:tcMar>
          </w:tcPr>
          <w:p w:rsidR="00000000" w:rsidP="00E96211">
            <w:pPr>
              <w:pStyle w:val="BodyText"/>
              <w:rPr>
                <w:lang w:val="en-NZ"/>
              </w:rPr>
            </w:pPr>
            <w:r w:rsidRPr="00E96211">
              <w:t xml:space="preserve">The Range Statement relates to the unit of competency as a whole. It allows for different work environments and situations that may affect </w:t>
            </w:r>
            <w:r w:rsidRPr="00E96211">
              <w:t>performance. Add any essential operating conditions that may be present with training and assessment depending on the work situation, needs of the candidate, accessibility of the item, and local industry and regional contexts</w:t>
            </w:r>
          </w:p>
        </w:tc>
      </w:tr>
      <w:tr w:rsidTr="00E9621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E96211">
            <w:pPr>
              <w:pStyle w:val="BodyText"/>
              <w:rPr>
                <w:lang w:val="en-NZ"/>
              </w:rPr>
            </w:pPr>
          </w:p>
        </w:tc>
      </w:tr>
      <w:tr w:rsidTr="00E96211">
        <w:tblPrEx>
          <w:tblW w:w="9322" w:type="dxa"/>
          <w:tblLayout w:type="fixed"/>
          <w:tblCellMar>
            <w:left w:w="62" w:type="dxa"/>
            <w:right w:w="62" w:type="dxa"/>
          </w:tblCellMar>
          <w:tblLook w:val="0000"/>
        </w:tblPrEx>
        <w:tc>
          <w:tcPr>
            <w:tcW w:w="3333" w:type="dxa"/>
            <w:tcBorders>
              <w:top w:val="nil"/>
              <w:left w:val="nil"/>
              <w:bottom w:val="nil"/>
              <w:right w:val="nil"/>
            </w:tcBorders>
            <w:tcMar>
              <w:top w:w="0" w:type="dxa"/>
              <w:left w:w="62" w:type="dxa"/>
              <w:bottom w:w="0" w:type="dxa"/>
              <w:right w:w="62" w:type="dxa"/>
            </w:tcMar>
          </w:tcPr>
          <w:p w:rsidR="00000000" w:rsidP="00E96211">
            <w:pPr>
              <w:pStyle w:val="BodyText"/>
              <w:rPr>
                <w:lang w:val="en-NZ"/>
              </w:rPr>
            </w:pPr>
            <w:r w:rsidRPr="00E96211">
              <w:rPr>
                <w:rStyle w:val="Emphasis"/>
              </w:rPr>
              <w:t>Social, political, cultur</w:t>
            </w:r>
            <w:r w:rsidRPr="00E96211">
              <w:rPr>
                <w:rStyle w:val="Emphasis"/>
              </w:rPr>
              <w:t>al and economic context</w:t>
            </w:r>
            <w:r w:rsidRPr="00E96211">
              <w:t xml:space="preserve"> includes but is not limited to:</w:t>
            </w:r>
            <w:r w:rsidRPr="00E96211">
              <w:rPr>
                <w:rStyle w:val="Emphasis"/>
              </w:rPr>
              <w:t xml:space="preserve"> </w:t>
            </w:r>
          </w:p>
        </w:tc>
        <w:tc>
          <w:tcPr>
            <w:tcW w:w="5989" w:type="dxa"/>
            <w:tcBorders>
              <w:top w:val="nil"/>
              <w:left w:val="nil"/>
              <w:bottom w:val="nil"/>
              <w:right w:val="nil"/>
            </w:tcBorders>
            <w:tcMar>
              <w:top w:w="0" w:type="dxa"/>
              <w:left w:w="62" w:type="dxa"/>
              <w:bottom w:w="0" w:type="dxa"/>
              <w:right w:w="62" w:type="dxa"/>
            </w:tcMar>
          </w:tcPr>
          <w:p w:rsidR="00000000" w:rsidRPr="00E96211" w:rsidP="00E96211">
            <w:pPr>
              <w:pStyle w:val="ListBullet"/>
            </w:pPr>
            <w:r w:rsidRPr="00E96211">
              <w:t>Statutory framework within which work takes place</w:t>
            </w:r>
          </w:p>
          <w:p w:rsidR="00000000" w:rsidRPr="00E96211" w:rsidP="00E96211">
            <w:pPr>
              <w:pStyle w:val="ListBullet"/>
            </w:pPr>
            <w:r w:rsidRPr="00E96211">
              <w:t>Historical context of work including:</w:t>
            </w:r>
          </w:p>
          <w:p w:rsidR="00000000" w:rsidRPr="00E96211" w:rsidP="00E96211">
            <w:pPr>
              <w:pStyle w:val="ListBullet"/>
            </w:pPr>
            <w:r w:rsidRPr="00E96211">
              <w:t>changing attitudes to mental health and working with people with mental illness</w:t>
            </w:r>
          </w:p>
          <w:p w:rsidR="00000000" w:rsidRPr="00E96211" w:rsidP="00E96211">
            <w:pPr>
              <w:pStyle w:val="ListBullet"/>
            </w:pPr>
            <w:r w:rsidRPr="00E96211">
              <w:t>emergence of consumer/carer movements</w:t>
            </w:r>
          </w:p>
          <w:p w:rsidR="00000000" w:rsidRPr="00E96211" w:rsidP="00E96211">
            <w:pPr>
              <w:pStyle w:val="ListBullet"/>
            </w:pPr>
            <w:r w:rsidRPr="00E96211">
              <w:t>development of a body of consumer and carer written literature</w:t>
            </w:r>
          </w:p>
          <w:p w:rsidR="00000000" w:rsidRPr="00E96211" w:rsidP="00E96211">
            <w:pPr>
              <w:pStyle w:val="ListBullet"/>
            </w:pPr>
            <w:r w:rsidRPr="00E96211">
              <w:t>Changing social context of work including:</w:t>
            </w:r>
          </w:p>
          <w:p w:rsidR="00000000" w:rsidRPr="00E96211" w:rsidP="00E96211">
            <w:pPr>
              <w:pStyle w:val="ListBullet"/>
            </w:pPr>
            <w:r w:rsidRPr="00E96211">
              <w:t>person-centred and collaborative approach to working with people with mental illness</w:t>
            </w:r>
          </w:p>
          <w:p w:rsidR="00000000" w:rsidRPr="00E96211" w:rsidP="00E96211">
            <w:pPr>
              <w:pStyle w:val="ListBullet"/>
            </w:pPr>
            <w:r w:rsidRPr="00E96211">
              <w:t>changing government and soc</w:t>
            </w:r>
            <w:r w:rsidRPr="00E96211">
              <w:t>ietal views of mental health</w:t>
            </w:r>
          </w:p>
          <w:p w:rsidR="00000000" w:rsidRPr="00E96211" w:rsidP="00E96211">
            <w:pPr>
              <w:pStyle w:val="ListBullet"/>
            </w:pPr>
            <w:r w:rsidRPr="00E96211">
              <w:t xml:space="preserve">increasing use of consumer workers </w:t>
            </w:r>
          </w:p>
          <w:p w:rsidR="00000000" w:rsidRPr="00E96211" w:rsidP="00E96211">
            <w:pPr>
              <w:pStyle w:val="ListBullet"/>
            </w:pPr>
            <w:r w:rsidRPr="00E96211">
              <w:t>deinstitutionalisation</w:t>
            </w:r>
          </w:p>
          <w:p w:rsidR="00000000" w:rsidRPr="00E96211" w:rsidP="00E96211">
            <w:pPr>
              <w:pStyle w:val="ListBullet"/>
            </w:pPr>
            <w:r w:rsidRPr="00E96211">
              <w:t>Political context including:</w:t>
            </w:r>
          </w:p>
          <w:p w:rsidR="00000000" w:rsidRPr="00E96211" w:rsidP="00E96211">
            <w:pPr>
              <w:pStyle w:val="ListBullet"/>
            </w:pPr>
            <w:r w:rsidRPr="00E96211">
              <w:t>government policies and initiatives affecting mental health work</w:t>
            </w:r>
          </w:p>
          <w:p w:rsidR="00000000" w:rsidRPr="00E96211" w:rsidP="00E96211">
            <w:pPr>
              <w:pStyle w:val="ListBullet"/>
            </w:pPr>
            <w:r w:rsidRPr="00E96211">
              <w:t xml:space="preserve">Current economic situation as it relates to and affects mental health and </w:t>
            </w:r>
            <w:r w:rsidRPr="00E96211">
              <w:t>the subsequent impact on client needs</w:t>
            </w:r>
          </w:p>
          <w:p w:rsidR="00000000" w:rsidRPr="00E96211" w:rsidP="00E96211">
            <w:pPr>
              <w:pStyle w:val="ListBullet"/>
            </w:pPr>
            <w:r w:rsidRPr="00E96211">
              <w:t>Facts/myths about mental illness and psychiatric disability</w:t>
            </w:r>
          </w:p>
          <w:p w:rsidR="00000000" w:rsidRPr="00E96211" w:rsidP="00E96211">
            <w:pPr>
              <w:pStyle w:val="ListBullet"/>
            </w:pPr>
            <w:r w:rsidRPr="00E96211">
              <w:t>Information about recovery</w:t>
            </w:r>
          </w:p>
          <w:p w:rsidR="00000000" w:rsidRPr="00E96211" w:rsidP="00E96211">
            <w:pPr>
              <w:pStyle w:val="ListBullet"/>
            </w:pPr>
            <w:r w:rsidRPr="00E96211">
              <w:t xml:space="preserve">The needs of Aboriginal and Torres Strait Islander people </w:t>
            </w:r>
          </w:p>
          <w:p w:rsidR="00000000" w:rsidRPr="00E96211" w:rsidP="00E96211">
            <w:pPr>
              <w:pStyle w:val="ListBullet"/>
            </w:pPr>
            <w:r w:rsidRPr="00E96211">
              <w:t>The needs of people from non-English speaking backgrounds</w:t>
            </w:r>
          </w:p>
          <w:p w:rsidR="00000000" w:rsidRPr="00E96211" w:rsidP="00E96211">
            <w:pPr>
              <w:pStyle w:val="ListBullet"/>
            </w:pPr>
            <w:r w:rsidRPr="00E96211">
              <w:t>Social variabl</w:t>
            </w:r>
            <w:r w:rsidRPr="00E96211">
              <w:t>es such as social attitudes to mental illness</w:t>
            </w:r>
          </w:p>
          <w:p w:rsidR="00000000" w:rsidP="00E96211">
            <w:pPr>
              <w:pStyle w:val="ListBullet"/>
              <w:rPr>
                <w:lang w:val="en-NZ"/>
              </w:rPr>
            </w:pPr>
            <w:r w:rsidRPr="00E96211">
              <w:t>Forced migrants and refugees</w:t>
            </w:r>
          </w:p>
        </w:tc>
      </w:tr>
      <w:tr w:rsidTr="00E96211">
        <w:tblPrEx>
          <w:tblW w:w="9322" w:type="dxa"/>
          <w:tblLayout w:type="fixed"/>
          <w:tblCellMar>
            <w:left w:w="62" w:type="dxa"/>
            <w:right w:w="62" w:type="dxa"/>
          </w:tblCellMar>
          <w:tblLook w:val="0000"/>
        </w:tblPrEx>
        <w:tc>
          <w:tcPr>
            <w:tcW w:w="3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9" w:type="dxa"/>
            <w:tcBorders>
              <w:top w:val="nil"/>
              <w:left w:val="nil"/>
              <w:bottom w:val="nil"/>
              <w:right w:val="nil"/>
            </w:tcBorders>
            <w:tcMar>
              <w:top w:w="0" w:type="dxa"/>
              <w:left w:w="62" w:type="dxa"/>
              <w:bottom w:w="0" w:type="dxa"/>
              <w:right w:w="62" w:type="dxa"/>
            </w:tcMar>
          </w:tcPr>
          <w:p w:rsidR="00000000" w:rsidP="00E96211">
            <w:pPr>
              <w:pStyle w:val="BodyText"/>
              <w:rPr>
                <w:lang w:val="en-NZ"/>
              </w:rPr>
            </w:pPr>
          </w:p>
        </w:tc>
      </w:tr>
      <w:tr w:rsidTr="00E96211">
        <w:tblPrEx>
          <w:tblW w:w="9322" w:type="dxa"/>
          <w:tblLayout w:type="fixed"/>
          <w:tblCellMar>
            <w:left w:w="62" w:type="dxa"/>
            <w:right w:w="62" w:type="dxa"/>
          </w:tblCellMar>
          <w:tblLook w:val="0000"/>
        </w:tblPrEx>
        <w:tc>
          <w:tcPr>
            <w:tcW w:w="3333" w:type="dxa"/>
            <w:tcBorders>
              <w:top w:val="nil"/>
              <w:left w:val="nil"/>
              <w:bottom w:val="nil"/>
              <w:right w:val="nil"/>
            </w:tcBorders>
            <w:tcMar>
              <w:top w:w="0" w:type="dxa"/>
              <w:left w:w="62" w:type="dxa"/>
              <w:bottom w:w="0" w:type="dxa"/>
              <w:right w:w="62" w:type="dxa"/>
            </w:tcMar>
          </w:tcPr>
          <w:p w:rsidR="00000000" w:rsidP="00E96211">
            <w:pPr>
              <w:pStyle w:val="BodyText"/>
              <w:rPr>
                <w:lang w:val="en-NZ"/>
              </w:rPr>
            </w:pPr>
            <w:r w:rsidRPr="00E96211">
              <w:rPr>
                <w:rStyle w:val="Emphasis"/>
              </w:rPr>
              <w:t>Access and equity principles in peer work</w:t>
            </w:r>
            <w:r w:rsidRPr="00E96211">
              <w:t xml:space="preserve"> includes</w:t>
            </w:r>
            <w:r w:rsidRPr="00E96211">
              <w:rPr>
                <w:rStyle w:val="Emphasis"/>
              </w:rPr>
              <w:t>:</w:t>
            </w:r>
          </w:p>
        </w:tc>
        <w:tc>
          <w:tcPr>
            <w:tcW w:w="5989" w:type="dxa"/>
            <w:tcBorders>
              <w:top w:val="nil"/>
              <w:left w:val="nil"/>
              <w:bottom w:val="nil"/>
              <w:right w:val="nil"/>
            </w:tcBorders>
            <w:tcMar>
              <w:top w:w="0" w:type="dxa"/>
              <w:left w:w="62" w:type="dxa"/>
              <w:bottom w:w="0" w:type="dxa"/>
              <w:right w:w="62" w:type="dxa"/>
            </w:tcMar>
          </w:tcPr>
          <w:p w:rsidR="00000000" w:rsidRPr="00E96211" w:rsidP="00E96211">
            <w:pPr>
              <w:pStyle w:val="ListBullet"/>
            </w:pPr>
            <w:r w:rsidRPr="00E96211">
              <w:t>Creation of a consumer oriented culture</w:t>
            </w:r>
          </w:p>
          <w:p w:rsidR="00000000" w:rsidRPr="00E96211" w:rsidP="00E96211">
            <w:pPr>
              <w:pStyle w:val="ListBullet"/>
            </w:pPr>
            <w:r w:rsidRPr="00E96211">
              <w:t>A non-discriminatory approach to all people using the service, their family, carer/s and friends, the general public and co-workers</w:t>
            </w:r>
          </w:p>
          <w:p w:rsidR="00000000" w:rsidRPr="00E96211" w:rsidP="00E96211">
            <w:pPr>
              <w:pStyle w:val="ListBullet"/>
            </w:pPr>
            <w:r w:rsidRPr="00E96211">
              <w:t>Ensuring the work undertaken takes account of and caters for differences including cultural, physical, religious, economic a</w:t>
            </w:r>
            <w:r w:rsidRPr="00E96211">
              <w:t>nd social</w:t>
            </w:r>
          </w:p>
          <w:p w:rsidR="00000000" w:rsidP="00E96211">
            <w:pPr>
              <w:pStyle w:val="ListBullet"/>
              <w:rPr>
                <w:lang w:val="en-NZ"/>
              </w:rPr>
            </w:pPr>
            <w:r w:rsidRPr="00E96211">
              <w:t>Recognition of diverse perspectives</w:t>
            </w:r>
          </w:p>
        </w:tc>
      </w:tr>
      <w:tr w:rsidTr="00E96211">
        <w:tblPrEx>
          <w:tblW w:w="9322" w:type="dxa"/>
          <w:tblLayout w:type="fixed"/>
          <w:tblCellMar>
            <w:left w:w="62" w:type="dxa"/>
            <w:right w:w="62" w:type="dxa"/>
          </w:tblCellMar>
          <w:tblLook w:val="0000"/>
        </w:tblPrEx>
        <w:tc>
          <w:tcPr>
            <w:tcW w:w="3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9" w:type="dxa"/>
            <w:tcBorders>
              <w:top w:val="nil"/>
              <w:left w:val="nil"/>
              <w:bottom w:val="nil"/>
              <w:right w:val="nil"/>
            </w:tcBorders>
            <w:tcMar>
              <w:top w:w="0" w:type="dxa"/>
              <w:left w:w="62" w:type="dxa"/>
              <w:bottom w:w="0" w:type="dxa"/>
              <w:right w:w="62" w:type="dxa"/>
            </w:tcMar>
          </w:tcPr>
          <w:p w:rsidR="00000000" w:rsidP="00E96211">
            <w:pPr>
              <w:pStyle w:val="BodyText"/>
              <w:rPr>
                <w:lang w:val="en-NZ"/>
              </w:rPr>
            </w:pPr>
          </w:p>
        </w:tc>
      </w:tr>
      <w:tr w:rsidTr="00E96211">
        <w:tblPrEx>
          <w:tblW w:w="9322" w:type="dxa"/>
          <w:tblLayout w:type="fixed"/>
          <w:tblCellMar>
            <w:left w:w="62" w:type="dxa"/>
            <w:right w:w="62" w:type="dxa"/>
          </w:tblCellMar>
          <w:tblLook w:val="0000"/>
        </w:tblPrEx>
        <w:tc>
          <w:tcPr>
            <w:tcW w:w="3333" w:type="dxa"/>
            <w:tcBorders>
              <w:top w:val="nil"/>
              <w:left w:val="nil"/>
              <w:bottom w:val="nil"/>
              <w:right w:val="nil"/>
            </w:tcBorders>
            <w:tcMar>
              <w:top w:w="0" w:type="dxa"/>
              <w:left w:w="62" w:type="dxa"/>
              <w:bottom w:w="0" w:type="dxa"/>
              <w:right w:w="62" w:type="dxa"/>
            </w:tcMar>
          </w:tcPr>
          <w:p w:rsidR="00000000" w:rsidP="00E96211">
            <w:pPr>
              <w:pStyle w:val="BodyText"/>
              <w:rPr>
                <w:lang w:val="en-NZ"/>
              </w:rPr>
            </w:pPr>
            <w:r w:rsidRPr="00E96211">
              <w:rPr>
                <w:rStyle w:val="Emphasis"/>
              </w:rPr>
              <w:t xml:space="preserve">The range of support services provided by consumer peers and carer peers </w:t>
            </w:r>
            <w:r w:rsidRPr="00E96211">
              <w:t>may include but is not limited to</w:t>
            </w:r>
            <w:r w:rsidRPr="00E96211">
              <w:rPr>
                <w:rStyle w:val="Emphasis"/>
              </w:rPr>
              <w:t>:</w:t>
            </w:r>
          </w:p>
        </w:tc>
        <w:tc>
          <w:tcPr>
            <w:tcW w:w="5989" w:type="dxa"/>
            <w:tcBorders>
              <w:top w:val="nil"/>
              <w:left w:val="nil"/>
              <w:bottom w:val="nil"/>
              <w:right w:val="nil"/>
            </w:tcBorders>
            <w:tcMar>
              <w:top w:w="0" w:type="dxa"/>
              <w:left w:w="62" w:type="dxa"/>
              <w:bottom w:w="0" w:type="dxa"/>
              <w:right w:w="62" w:type="dxa"/>
            </w:tcMar>
          </w:tcPr>
          <w:p w:rsidR="00000000" w:rsidRPr="00E96211" w:rsidP="00E96211">
            <w:pPr>
              <w:pStyle w:val="ListBullet"/>
            </w:pPr>
            <w:r w:rsidRPr="00E96211">
              <w:t>Promoting self-advocacy</w:t>
            </w:r>
          </w:p>
          <w:p w:rsidR="00000000" w:rsidRPr="00E96211" w:rsidP="00E96211">
            <w:pPr>
              <w:pStyle w:val="ListBullet"/>
            </w:pPr>
            <w:r w:rsidRPr="00E96211">
              <w:t>Advocacy</w:t>
            </w:r>
          </w:p>
          <w:p w:rsidR="00000000" w:rsidRPr="00E96211" w:rsidP="00E96211">
            <w:pPr>
              <w:pStyle w:val="ListBullet"/>
            </w:pPr>
            <w:r w:rsidRPr="00E96211">
              <w:t>Representation</w:t>
            </w:r>
          </w:p>
          <w:p w:rsidR="00000000" w:rsidRPr="00E96211" w:rsidP="00E96211">
            <w:pPr>
              <w:pStyle w:val="ListBullet"/>
            </w:pPr>
            <w:r w:rsidRPr="00E96211">
              <w:t>Community education and promotion</w:t>
            </w:r>
          </w:p>
          <w:p w:rsidR="00000000" w:rsidRPr="00E96211" w:rsidP="00E96211">
            <w:pPr>
              <w:pStyle w:val="ListBullet"/>
            </w:pPr>
            <w:r w:rsidRPr="00E96211">
              <w:t>Facilitation of peer groups</w:t>
            </w:r>
          </w:p>
          <w:p w:rsidR="00000000" w:rsidP="00E96211">
            <w:pPr>
              <w:pStyle w:val="ListBullet"/>
              <w:rPr>
                <w:lang w:val="en-NZ"/>
              </w:rPr>
            </w:pPr>
            <w:r w:rsidRPr="00E96211">
              <w:t>Visitation and social recreational activities</w:t>
            </w:r>
          </w:p>
        </w:tc>
      </w:tr>
      <w:tr w:rsidTr="00E96211">
        <w:tblPrEx>
          <w:tblW w:w="9322" w:type="dxa"/>
          <w:tblLayout w:type="fixed"/>
          <w:tblCellMar>
            <w:left w:w="62" w:type="dxa"/>
            <w:right w:w="62" w:type="dxa"/>
          </w:tblCellMar>
          <w:tblLook w:val="0000"/>
        </w:tblPrEx>
        <w:tc>
          <w:tcPr>
            <w:tcW w:w="3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9" w:type="dxa"/>
            <w:tcBorders>
              <w:top w:val="nil"/>
              <w:left w:val="nil"/>
              <w:bottom w:val="nil"/>
              <w:right w:val="nil"/>
            </w:tcBorders>
            <w:tcMar>
              <w:top w:w="0" w:type="dxa"/>
              <w:left w:w="62" w:type="dxa"/>
              <w:bottom w:w="0" w:type="dxa"/>
              <w:right w:w="62" w:type="dxa"/>
            </w:tcMar>
          </w:tcPr>
          <w:p w:rsidR="00000000" w:rsidP="00E96211">
            <w:pPr>
              <w:pStyle w:val="BodyText"/>
              <w:rPr>
                <w:lang w:val="en-NZ"/>
              </w:rPr>
            </w:pPr>
          </w:p>
        </w:tc>
      </w:tr>
      <w:tr w:rsidTr="00E96211">
        <w:tblPrEx>
          <w:tblW w:w="9322" w:type="dxa"/>
          <w:tblLayout w:type="fixed"/>
          <w:tblCellMar>
            <w:left w:w="62" w:type="dxa"/>
            <w:right w:w="62" w:type="dxa"/>
          </w:tblCellMar>
          <w:tblLook w:val="0000"/>
        </w:tblPrEx>
        <w:tc>
          <w:tcPr>
            <w:tcW w:w="3333" w:type="dxa"/>
            <w:tcBorders>
              <w:top w:val="nil"/>
              <w:left w:val="nil"/>
              <w:bottom w:val="nil"/>
              <w:right w:val="nil"/>
            </w:tcBorders>
            <w:tcMar>
              <w:top w:w="0" w:type="dxa"/>
              <w:left w:w="62" w:type="dxa"/>
              <w:bottom w:w="0" w:type="dxa"/>
              <w:right w:w="62" w:type="dxa"/>
            </w:tcMar>
          </w:tcPr>
          <w:p w:rsidR="00000000" w:rsidRPr="00E96211" w:rsidP="00E96211">
            <w:pPr>
              <w:pStyle w:val="BodyText"/>
            </w:pPr>
            <w:r w:rsidRPr="00E96211">
              <w:rPr>
                <w:rStyle w:val="Emphasis"/>
              </w:rPr>
              <w:t>The range of service options available</w:t>
            </w:r>
            <w:r w:rsidRPr="00E96211">
              <w:t xml:space="preserve"> includes but is not limited to</w:t>
            </w:r>
            <w:r w:rsidRPr="00E96211">
              <w:rPr>
                <w:rStyle w:val="Emphasis"/>
              </w:rPr>
              <w:t>:</w:t>
            </w:r>
          </w:p>
          <w:p w:rsidR="00000000" w:rsidP="00E96211">
            <w:pPr>
              <w:pStyle w:val="BodyText"/>
              <w:rPr>
                <w:lang w:val="en-NZ"/>
              </w:rPr>
            </w:pPr>
          </w:p>
        </w:tc>
        <w:tc>
          <w:tcPr>
            <w:tcW w:w="5989" w:type="dxa"/>
            <w:tcBorders>
              <w:top w:val="nil"/>
              <w:left w:val="nil"/>
              <w:bottom w:val="nil"/>
              <w:right w:val="nil"/>
            </w:tcBorders>
            <w:tcMar>
              <w:top w:w="0" w:type="dxa"/>
              <w:left w:w="62" w:type="dxa"/>
              <w:bottom w:w="0" w:type="dxa"/>
              <w:right w:w="62" w:type="dxa"/>
            </w:tcMar>
          </w:tcPr>
          <w:p w:rsidR="00000000" w:rsidRPr="00E96211" w:rsidP="00E96211">
            <w:pPr>
              <w:pStyle w:val="ListBullet"/>
            </w:pPr>
            <w:r w:rsidRPr="00E96211">
              <w:t xml:space="preserve">Consumer operated services </w:t>
            </w:r>
          </w:p>
          <w:p w:rsidR="00000000" w:rsidRPr="00E96211" w:rsidP="00E96211">
            <w:pPr>
              <w:pStyle w:val="ListBullet"/>
            </w:pPr>
            <w:r w:rsidRPr="00E96211">
              <w:t>Self-help support groups</w:t>
            </w:r>
          </w:p>
          <w:p w:rsidR="00000000" w:rsidRPr="00E96211" w:rsidP="00E96211">
            <w:pPr>
              <w:pStyle w:val="ListBullet"/>
            </w:pPr>
            <w:r w:rsidRPr="00E96211">
              <w:t>Integrated approaches</w:t>
            </w:r>
          </w:p>
          <w:p w:rsidR="00000000" w:rsidRPr="00E96211" w:rsidP="00E96211">
            <w:pPr>
              <w:pStyle w:val="ListBullet"/>
            </w:pPr>
            <w:r w:rsidRPr="00E96211">
              <w:t>Consumer and or carer networks</w:t>
            </w:r>
          </w:p>
          <w:p w:rsidR="00000000" w:rsidRPr="00E96211" w:rsidP="00E96211">
            <w:pPr>
              <w:pStyle w:val="ListBullet"/>
            </w:pPr>
            <w:r w:rsidRPr="00E96211">
              <w:t>Community development and education</w:t>
            </w:r>
          </w:p>
          <w:p w:rsidR="00000000" w:rsidRPr="00E96211" w:rsidP="00E96211">
            <w:pPr>
              <w:pStyle w:val="ListBullet"/>
            </w:pPr>
            <w:r w:rsidRPr="00E96211">
              <w:t>Mental health promotion</w:t>
            </w:r>
          </w:p>
          <w:p w:rsidR="00000000" w:rsidRPr="00E96211" w:rsidP="00E96211">
            <w:pPr>
              <w:pStyle w:val="ListBullet"/>
            </w:pPr>
            <w:r w:rsidRPr="00E96211">
              <w:t>Working with families and carer/s</w:t>
            </w:r>
          </w:p>
          <w:p w:rsidR="00000000" w:rsidRPr="00E96211" w:rsidP="00E96211">
            <w:pPr>
              <w:pStyle w:val="ListBullet"/>
            </w:pPr>
            <w:r w:rsidRPr="00E96211">
              <w:t>Clubhouse</w:t>
            </w:r>
          </w:p>
          <w:p w:rsidR="00000000" w:rsidRPr="00E96211" w:rsidP="00E96211">
            <w:pPr>
              <w:pStyle w:val="ListBullet"/>
            </w:pPr>
            <w:r w:rsidRPr="00E96211">
              <w:t>Supported employment</w:t>
            </w:r>
          </w:p>
          <w:p w:rsidR="00000000" w:rsidRPr="00E96211" w:rsidP="00E96211">
            <w:pPr>
              <w:pStyle w:val="ListBullet"/>
            </w:pPr>
            <w:r w:rsidRPr="00E96211">
              <w:t>Crisis situation responses</w:t>
            </w:r>
          </w:p>
          <w:p w:rsidR="00000000" w:rsidRPr="00E96211" w:rsidP="00E96211">
            <w:pPr>
              <w:pStyle w:val="ListBullet"/>
            </w:pPr>
            <w:r w:rsidRPr="00E96211">
              <w:t>Early intervention/prevention</w:t>
            </w:r>
          </w:p>
          <w:p w:rsidR="00000000" w:rsidRPr="00E96211" w:rsidP="00E96211">
            <w:pPr>
              <w:pStyle w:val="ListBullet"/>
            </w:pPr>
            <w:r w:rsidRPr="00E96211">
              <w:t>Consumer consultancy services</w:t>
            </w:r>
          </w:p>
          <w:p w:rsidR="00000000" w:rsidRPr="00E96211" w:rsidP="00E96211">
            <w:pPr>
              <w:pStyle w:val="ListBullet"/>
            </w:pPr>
            <w:r w:rsidRPr="00E96211">
              <w:t>Residential services</w:t>
            </w:r>
          </w:p>
          <w:p w:rsidR="00000000" w:rsidRPr="00E96211" w:rsidP="00E96211">
            <w:pPr>
              <w:pStyle w:val="ListBullet"/>
            </w:pPr>
            <w:r w:rsidRPr="00E96211">
              <w:t>Respite care</w:t>
            </w:r>
          </w:p>
          <w:p w:rsidR="00000000" w:rsidRPr="00E96211" w:rsidP="00E96211">
            <w:pPr>
              <w:pStyle w:val="ListBullet"/>
            </w:pPr>
            <w:r w:rsidRPr="00E96211">
              <w:t>Home based support</w:t>
            </w:r>
          </w:p>
          <w:p w:rsidR="00000000" w:rsidRPr="00E96211" w:rsidP="00E96211">
            <w:pPr>
              <w:pStyle w:val="ListBullet"/>
            </w:pPr>
            <w:r w:rsidRPr="00E96211">
              <w:t>Recreational services</w:t>
            </w:r>
          </w:p>
          <w:p w:rsidR="00000000" w:rsidP="00E96211">
            <w:pPr>
              <w:pStyle w:val="ListBullet"/>
              <w:rPr>
                <w:lang w:val="en-NZ"/>
              </w:rPr>
            </w:pPr>
            <w:r w:rsidRPr="00E96211">
              <w:t>Alternative services</w:t>
            </w:r>
          </w:p>
        </w:tc>
      </w:tr>
      <w:tr w:rsidTr="00E96211">
        <w:tblPrEx>
          <w:tblW w:w="9322" w:type="dxa"/>
          <w:tblLayout w:type="fixed"/>
          <w:tblCellMar>
            <w:left w:w="62" w:type="dxa"/>
            <w:right w:w="62" w:type="dxa"/>
          </w:tblCellMar>
          <w:tblLook w:val="0000"/>
        </w:tblPrEx>
        <w:tc>
          <w:tcPr>
            <w:tcW w:w="3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9" w:type="dxa"/>
            <w:tcBorders>
              <w:top w:val="nil"/>
              <w:left w:val="nil"/>
              <w:bottom w:val="nil"/>
              <w:right w:val="nil"/>
            </w:tcBorders>
            <w:tcMar>
              <w:top w:w="0" w:type="dxa"/>
              <w:left w:w="62" w:type="dxa"/>
              <w:bottom w:w="0" w:type="dxa"/>
              <w:right w:w="62" w:type="dxa"/>
            </w:tcMar>
          </w:tcPr>
          <w:p w:rsidR="00000000" w:rsidP="00E96211">
            <w:pPr>
              <w:pStyle w:val="BodyText"/>
              <w:rPr>
                <w:lang w:val="en-NZ"/>
              </w:rPr>
            </w:pPr>
          </w:p>
        </w:tc>
      </w:tr>
      <w:tr w:rsidTr="00E96211">
        <w:tblPrEx>
          <w:tblW w:w="9322" w:type="dxa"/>
          <w:tblLayout w:type="fixed"/>
          <w:tblCellMar>
            <w:left w:w="62" w:type="dxa"/>
            <w:right w:w="62" w:type="dxa"/>
          </w:tblCellMar>
          <w:tblLook w:val="0000"/>
        </w:tblPrEx>
        <w:tc>
          <w:tcPr>
            <w:tcW w:w="3333" w:type="dxa"/>
            <w:tcBorders>
              <w:top w:val="nil"/>
              <w:left w:val="nil"/>
              <w:bottom w:val="nil"/>
              <w:right w:val="nil"/>
            </w:tcBorders>
            <w:tcMar>
              <w:top w:w="0" w:type="dxa"/>
              <w:left w:w="62" w:type="dxa"/>
              <w:bottom w:w="0" w:type="dxa"/>
              <w:right w:w="62" w:type="dxa"/>
            </w:tcMar>
          </w:tcPr>
          <w:p w:rsidR="00000000" w:rsidP="00E96211">
            <w:pPr>
              <w:pStyle w:val="BodyText"/>
              <w:rPr>
                <w:lang w:val="en-NZ"/>
              </w:rPr>
            </w:pPr>
            <w:r w:rsidRPr="00E96211">
              <w:rPr>
                <w:rStyle w:val="Emphasis"/>
              </w:rPr>
              <w:t>Consumer</w:t>
            </w:r>
            <w:r w:rsidRPr="00E96211">
              <w:t xml:space="preserve"> in this context is defined as:</w:t>
            </w:r>
          </w:p>
        </w:tc>
        <w:tc>
          <w:tcPr>
            <w:tcW w:w="5989" w:type="dxa"/>
            <w:tcBorders>
              <w:top w:val="nil"/>
              <w:left w:val="nil"/>
              <w:bottom w:val="nil"/>
              <w:right w:val="nil"/>
            </w:tcBorders>
            <w:tcMar>
              <w:top w:w="0" w:type="dxa"/>
              <w:left w:w="62" w:type="dxa"/>
              <w:bottom w:w="0" w:type="dxa"/>
              <w:right w:w="62" w:type="dxa"/>
            </w:tcMar>
          </w:tcPr>
          <w:p w:rsidR="00000000" w:rsidRPr="00E96211" w:rsidP="00E96211">
            <w:pPr>
              <w:pStyle w:val="BodyText"/>
            </w:pPr>
            <w:r w:rsidRPr="00E96211">
              <w:t xml:space="preserve">A person who uses or has used a mental health service. In this context it also includes the term </w:t>
            </w:r>
            <w:r w:rsidRPr="00E96211">
              <w:rPr>
                <w:rStyle w:val="Emphasis"/>
              </w:rPr>
              <w:t xml:space="preserve">Lived experience - </w:t>
            </w:r>
          </w:p>
          <w:p w:rsidR="00000000" w:rsidRPr="00E96211" w:rsidP="00E96211">
            <w:pPr>
              <w:pStyle w:val="BodyText"/>
            </w:pPr>
            <w:r w:rsidRPr="00E96211">
              <w:rPr>
                <w:rStyle w:val="Emphasis"/>
              </w:rPr>
              <w:t>Consumer:</w:t>
            </w:r>
          </w:p>
          <w:p w:rsidR="00000000" w:rsidP="00E96211">
            <w:pPr>
              <w:pStyle w:val="ListBullet"/>
              <w:rPr>
                <w:lang w:val="en-NZ"/>
              </w:rPr>
            </w:pPr>
            <w:r w:rsidRPr="00E96211">
              <w:t>The personal experience of living with mental illness and the consequences. This experience includes the consumer’s mental, physical, emotional, social and spiritual wellbeing and may have significant social and economic impacts</w:t>
            </w:r>
          </w:p>
        </w:tc>
      </w:tr>
      <w:tr w:rsidTr="00E96211">
        <w:tblPrEx>
          <w:tblW w:w="9322" w:type="dxa"/>
          <w:tblLayout w:type="fixed"/>
          <w:tblCellMar>
            <w:left w:w="62" w:type="dxa"/>
            <w:right w:w="62" w:type="dxa"/>
          </w:tblCellMar>
          <w:tblLook w:val="0000"/>
        </w:tblPrEx>
        <w:tc>
          <w:tcPr>
            <w:tcW w:w="3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9" w:type="dxa"/>
            <w:tcBorders>
              <w:top w:val="nil"/>
              <w:left w:val="nil"/>
              <w:bottom w:val="nil"/>
              <w:right w:val="nil"/>
            </w:tcBorders>
            <w:tcMar>
              <w:top w:w="0" w:type="dxa"/>
              <w:left w:w="62" w:type="dxa"/>
              <w:bottom w:w="0" w:type="dxa"/>
              <w:right w:w="62" w:type="dxa"/>
            </w:tcMar>
          </w:tcPr>
          <w:p w:rsidR="00000000" w:rsidP="00E96211">
            <w:pPr>
              <w:pStyle w:val="BodyText"/>
              <w:rPr>
                <w:lang w:val="en-NZ"/>
              </w:rPr>
            </w:pPr>
          </w:p>
        </w:tc>
      </w:tr>
      <w:tr w:rsidTr="00E96211">
        <w:tblPrEx>
          <w:tblW w:w="9322" w:type="dxa"/>
          <w:tblLayout w:type="fixed"/>
          <w:tblCellMar>
            <w:left w:w="62" w:type="dxa"/>
            <w:right w:w="62" w:type="dxa"/>
          </w:tblCellMar>
          <w:tblLook w:val="0000"/>
        </w:tblPrEx>
        <w:tc>
          <w:tcPr>
            <w:tcW w:w="3333" w:type="dxa"/>
            <w:tcBorders>
              <w:top w:val="nil"/>
              <w:left w:val="nil"/>
              <w:bottom w:val="nil"/>
              <w:right w:val="nil"/>
            </w:tcBorders>
            <w:tcMar>
              <w:top w:w="0" w:type="dxa"/>
              <w:left w:w="62" w:type="dxa"/>
              <w:bottom w:w="0" w:type="dxa"/>
              <w:right w:w="62" w:type="dxa"/>
            </w:tcMar>
          </w:tcPr>
          <w:p w:rsidR="00000000" w:rsidP="00E96211">
            <w:pPr>
              <w:pStyle w:val="BodyText"/>
              <w:rPr>
                <w:lang w:val="en-NZ"/>
              </w:rPr>
            </w:pPr>
            <w:r w:rsidRPr="00E96211">
              <w:rPr>
                <w:rStyle w:val="Emphasis"/>
              </w:rPr>
              <w:t>Carer:</w:t>
            </w:r>
          </w:p>
        </w:tc>
        <w:tc>
          <w:tcPr>
            <w:tcW w:w="5989" w:type="dxa"/>
            <w:tcBorders>
              <w:top w:val="nil"/>
              <w:left w:val="nil"/>
              <w:bottom w:val="nil"/>
              <w:right w:val="nil"/>
            </w:tcBorders>
            <w:tcMar>
              <w:top w:w="0" w:type="dxa"/>
              <w:left w:w="62" w:type="dxa"/>
              <w:bottom w:w="0" w:type="dxa"/>
              <w:right w:w="62" w:type="dxa"/>
            </w:tcMar>
          </w:tcPr>
          <w:p w:rsidR="00000000" w:rsidRPr="00E96211" w:rsidP="00E96211">
            <w:pPr>
              <w:pStyle w:val="BodyText"/>
            </w:pPr>
            <w:r w:rsidRPr="00E96211">
              <w:t>A person who has</w:t>
            </w:r>
            <w:r w:rsidRPr="00E96211">
              <w:t xml:space="preserve"> an unpaid caring role with a person with a mental health problem or mental illness.</w:t>
            </w:r>
          </w:p>
          <w:p w:rsidR="00000000" w:rsidRPr="00E96211" w:rsidP="00E96211">
            <w:pPr>
              <w:pStyle w:val="BodyText"/>
            </w:pPr>
            <w:r w:rsidRPr="00E96211">
              <w:t xml:space="preserve">In this context it includes the term </w:t>
            </w:r>
            <w:r w:rsidRPr="00E96211">
              <w:rPr>
                <w:rStyle w:val="Emphasis"/>
              </w:rPr>
              <w:t>Lived experience - Carer:</w:t>
            </w:r>
          </w:p>
          <w:p w:rsidR="00000000" w:rsidRPr="00E96211" w:rsidP="00E96211">
            <w:pPr>
              <w:pStyle w:val="ListBullet"/>
            </w:pPr>
            <w:r w:rsidRPr="00E96211">
              <w:t>The personal experience of being in an unpaid carer role with a person who is living with mental illness. T</w:t>
            </w:r>
            <w:r w:rsidRPr="00E96211">
              <w:t>his experience includes the carer’s mental, physical, emotional, social and spiritual wellbeing and may have significant social and economic impacts</w:t>
            </w:r>
          </w:p>
        </w:tc>
      </w:tr>
    </w:tbl>
    <w:p w:rsidR="00441417" w:rsidP="00E96211">
      <w:pPr>
        <w:pStyle w:val="BodyText"/>
      </w:pPr>
    </w:p>
    <w:p w:rsidR="00441417" w:rsidP="00E96211">
      <w:pPr>
        <w:pStyle w:val="BodyText"/>
      </w:pPr>
    </w:p>
    <w:p w:rsidR="00000000" w:rsidRPr="00E96211" w:rsidP="00E96211">
      <w:pPr>
        <w:pStyle w:val="Heading1"/>
      </w:pPr>
      <w:bookmarkStart w:id="12" w:name="O_451015"/>
      <w:bookmarkEnd w:id="12"/>
      <w:r w:rsidRPr="00E96211">
        <w:t>Unit Sector(s)</w:t>
      </w:r>
    </w:p>
    <w:p w:rsidR="00000000" w:rsidRPr="00E96211" w:rsidP="00E96211">
      <w:pPr>
        <w:pStyle w:val="BodyText"/>
      </w:pPr>
      <w:r w:rsidRPr="00E96211">
        <w:t>Not applicable.</w:t>
      </w:r>
    </w:p>
    <w:p w:rsidR="00000000" w:rsidRPr="00E96211" w:rsidP="00E96211">
      <w:pPr>
        <w:pStyle w:val="AllowPageBreak"/>
      </w:pPr>
    </w:p>
    <w:p w:rsidR="00000000" w:rsidRPr="00E96211" w:rsidP="00E96211">
      <w:pPr>
        <w:pStyle w:val="Heading1"/>
      </w:pPr>
      <w:bookmarkStart w:id="13" w:name="O_451016"/>
      <w:bookmarkEnd w:id="13"/>
      <w:r w:rsidRPr="00E96211">
        <w:t>Custom Content Section</w:t>
      </w:r>
    </w:p>
    <w:p w:rsidR="00000000" w:rsidRPr="00E96211" w:rsidP="00E96211">
      <w:pPr>
        <w:pStyle w:val="BodyText"/>
      </w:pPr>
      <w:r w:rsidRPr="00E96211">
        <w:t>Not applicable.</w:t>
      </w:r>
    </w:p>
    <w:p w:rsidR="00000000" w:rsidRPr="00E96211" w:rsidP="00E96211"/>
    <w:sectPr w:rsidSect="00E962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2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1417" w:rsidP="0044141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2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417" w:rsidP="00E9621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41417" w:rsidP="00E962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41417" w:rsidP="00E962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2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211" w:rsidRPr="00441417" w:rsidP="0044141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2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417" w:rsidRPr="002D2AF8" w:rsidP="00E96211">
    <w:pPr>
      <w:pStyle w:val="Header"/>
      <w:framePr w:wrap="around"/>
    </w:pPr>
    <w:r>
      <w:fldChar w:fldCharType="begin"/>
    </w:r>
    <w:r>
      <w:instrText xml:space="preserve"> TITLE   \* MERGEFORMAT </w:instrText>
    </w:r>
    <w:r>
      <w:fldChar w:fldCharType="separate"/>
    </w:r>
    <w:r>
      <w:t>CHCPW401A Apply peer work practices in the mental health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2012</w:t>
    </w:r>
    <w:r>
      <w:fldChar w:fldCharType="end"/>
    </w:r>
  </w:p>
  <w:p w:rsidR="00441417" w:rsidP="00E962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2ED4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4201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2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6211"/>
    <w:pPr>
      <w:spacing w:before="360" w:after="60"/>
      <w:outlineLvl w:val="0"/>
    </w:pPr>
    <w:rPr>
      <w:sz w:val="32"/>
    </w:rPr>
  </w:style>
  <w:style w:type="paragraph" w:styleId="Heading2">
    <w:name w:val="heading 2"/>
    <w:basedOn w:val="HeadingBase"/>
    <w:next w:val="BodyText"/>
    <w:link w:val="Heading2Char"/>
    <w:qFormat/>
    <w:rsid w:val="00E96211"/>
    <w:pPr>
      <w:keepLines/>
      <w:spacing w:before="240" w:after="120"/>
      <w:outlineLvl w:val="1"/>
    </w:pPr>
    <w:rPr>
      <w:sz w:val="28"/>
      <w:szCs w:val="40"/>
    </w:rPr>
  </w:style>
  <w:style w:type="paragraph" w:styleId="Heading3">
    <w:name w:val="heading 3"/>
    <w:basedOn w:val="HeadingBase"/>
    <w:next w:val="BodyText"/>
    <w:link w:val="Heading3Char"/>
    <w:qFormat/>
    <w:rsid w:val="00E96211"/>
    <w:pPr>
      <w:spacing w:before="180" w:after="120"/>
      <w:outlineLvl w:val="2"/>
    </w:pPr>
    <w:rPr>
      <w:spacing w:val="-10"/>
      <w:kern w:val="32"/>
    </w:rPr>
  </w:style>
  <w:style w:type="paragraph" w:styleId="Heading4">
    <w:name w:val="heading 4"/>
    <w:basedOn w:val="HeadingBase"/>
    <w:next w:val="BodyText"/>
    <w:link w:val="Heading4Char"/>
    <w:qFormat/>
    <w:rsid w:val="00E96211"/>
    <w:pPr>
      <w:spacing w:before="160" w:after="120"/>
      <w:outlineLvl w:val="3"/>
    </w:pPr>
    <w:rPr>
      <w:sz w:val="22"/>
    </w:rPr>
  </w:style>
  <w:style w:type="paragraph" w:styleId="Heading5">
    <w:name w:val="heading 5"/>
    <w:basedOn w:val="HeadingBase"/>
    <w:next w:val="Normal"/>
    <w:link w:val="Heading5Char"/>
    <w:qFormat/>
    <w:rsid w:val="00E96211"/>
    <w:pPr>
      <w:spacing w:before="80"/>
      <w:outlineLvl w:val="4"/>
    </w:pPr>
    <w:rPr>
      <w:color w:val="918585"/>
      <w:sz w:val="20"/>
    </w:rPr>
  </w:style>
  <w:style w:type="paragraph" w:styleId="Heading6">
    <w:name w:val="heading 6"/>
    <w:basedOn w:val="HeadingBase"/>
    <w:next w:val="Normal"/>
    <w:link w:val="Heading6Char"/>
    <w:qFormat/>
    <w:rsid w:val="00E96211"/>
    <w:pPr>
      <w:spacing w:before="60"/>
      <w:outlineLvl w:val="5"/>
    </w:pPr>
    <w:rPr>
      <w:color w:val="918585"/>
      <w:sz w:val="20"/>
    </w:rPr>
  </w:style>
  <w:style w:type="paragraph" w:styleId="Heading7">
    <w:name w:val="heading 7"/>
    <w:basedOn w:val="Normal"/>
    <w:next w:val="Normal"/>
    <w:link w:val="Heading7Char"/>
    <w:qFormat/>
    <w:rsid w:val="00E96211"/>
    <w:pPr>
      <w:ind w:left="720"/>
      <w:outlineLvl w:val="6"/>
    </w:pPr>
    <w:rPr>
      <w:i/>
    </w:rPr>
  </w:style>
  <w:style w:type="paragraph" w:styleId="Heading8">
    <w:name w:val="heading 8"/>
    <w:basedOn w:val="Normal"/>
    <w:next w:val="Normal"/>
    <w:link w:val="Heading8Char"/>
    <w:qFormat/>
    <w:rsid w:val="00E96211"/>
    <w:pPr>
      <w:ind w:left="720"/>
      <w:outlineLvl w:val="7"/>
    </w:pPr>
    <w:rPr>
      <w:i/>
    </w:rPr>
  </w:style>
  <w:style w:type="paragraph" w:styleId="Heading9">
    <w:name w:val="heading 9"/>
    <w:basedOn w:val="Normal"/>
    <w:next w:val="Normal"/>
    <w:link w:val="Heading9Char"/>
    <w:qFormat/>
    <w:rsid w:val="00E96211"/>
    <w:pPr>
      <w:ind w:left="720"/>
      <w:outlineLvl w:val="8"/>
    </w:pPr>
    <w:rPr>
      <w:i/>
    </w:rPr>
  </w:style>
  <w:style w:type="character" w:default="1" w:styleId="DefaultParagraphFont">
    <w:name w:val="Default Paragraph Font"/>
    <w:uiPriority w:val="1"/>
    <w:unhideWhenUsed/>
    <w:rsid w:val="00E962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6211"/>
  </w:style>
  <w:style w:type="character" w:customStyle="1" w:styleId="Heading1Char">
    <w:name w:val="Heading 1 Char"/>
    <w:basedOn w:val="DefaultParagraphFont"/>
    <w:link w:val="Heading1"/>
    <w:rsid w:val="00E96211"/>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E96211"/>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E962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6211"/>
    <w:rPr>
      <w:rFonts w:ascii="Times New Roman" w:eastAsia="Times New Roman" w:hAnsi="Times New Roman" w:cs="Times New Roman"/>
      <w:sz w:val="24"/>
      <w:lang w:eastAsia="en-US"/>
    </w:rPr>
  </w:style>
  <w:style w:type="paragraph" w:styleId="Footer">
    <w:name w:val="footer"/>
    <w:basedOn w:val="Normal"/>
    <w:link w:val="FooterChar"/>
    <w:rsid w:val="00E962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6211"/>
    <w:rPr>
      <w:rFonts w:ascii="Times New Roman" w:eastAsia="Times New Roman" w:hAnsi="Times New Roman" w:cs="Times New Roman"/>
      <w:sz w:val="16"/>
      <w:lang w:eastAsia="en-US"/>
    </w:rPr>
  </w:style>
  <w:style w:type="paragraph" w:styleId="ListBullet">
    <w:name w:val="List Bullet"/>
    <w:basedOn w:val="List"/>
    <w:rsid w:val="00E96211"/>
    <w:pPr>
      <w:numPr>
        <w:numId w:val="12"/>
      </w:numPr>
      <w:tabs>
        <w:tab w:val="clear" w:pos="340"/>
      </w:tabs>
      <w:spacing w:before="40" w:after="40"/>
    </w:pPr>
  </w:style>
  <w:style w:type="character" w:customStyle="1" w:styleId="SpecialBold">
    <w:name w:val="Special Bold"/>
    <w:basedOn w:val="DefaultParagraphFont"/>
    <w:rsid w:val="00E96211"/>
    <w:rPr>
      <w:b/>
      <w:spacing w:val="0"/>
    </w:rPr>
  </w:style>
  <w:style w:type="character" w:styleId="Emphasis">
    <w:name w:val="Emphasis"/>
    <w:basedOn w:val="DefaultParagraphFont"/>
    <w:qFormat/>
    <w:rsid w:val="00E96211"/>
    <w:rPr>
      <w:i/>
    </w:rPr>
  </w:style>
  <w:style w:type="paragraph" w:customStyle="1" w:styleId="SuperHeading">
    <w:name w:val="SuperHeading"/>
    <w:basedOn w:val="Normal"/>
    <w:rsid w:val="00E96211"/>
    <w:pPr>
      <w:spacing w:before="240" w:after="120"/>
      <w:outlineLvl w:val="0"/>
    </w:pPr>
    <w:rPr>
      <w:rFonts w:ascii="Times New Roman" w:hAnsi="Times New Roman"/>
      <w:b/>
      <w:sz w:val="28"/>
    </w:rPr>
  </w:style>
  <w:style w:type="paragraph" w:customStyle="1" w:styleId="AllowPageBreak">
    <w:name w:val="AllowPageBreak"/>
    <w:rsid w:val="00E962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6211"/>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E962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62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62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62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62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6211"/>
    <w:rPr>
      <w:rFonts w:ascii="Courier New" w:eastAsia="Times New Roman" w:hAnsi="Courier New" w:cs="Times New Roman"/>
      <w:i/>
      <w:szCs w:val="20"/>
      <w:lang w:eastAsia="en-US"/>
    </w:rPr>
  </w:style>
  <w:style w:type="paragraph" w:customStyle="1" w:styleId="HeadingBase">
    <w:name w:val="Heading Base"/>
    <w:rsid w:val="00E962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6211"/>
    <w:pPr>
      <w:tabs>
        <w:tab w:val="right" w:leader="dot" w:pos="9072"/>
      </w:tabs>
      <w:ind w:left="567"/>
    </w:pPr>
    <w:rPr>
      <w:szCs w:val="22"/>
    </w:rPr>
  </w:style>
  <w:style w:type="paragraph" w:customStyle="1" w:styleId="TOCBase">
    <w:name w:val="TOC Base"/>
    <w:rsid w:val="00E962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6211"/>
    <w:pPr>
      <w:tabs>
        <w:tab w:val="right" w:leader="dot" w:pos="9072"/>
      </w:tabs>
      <w:spacing w:before="40" w:after="40"/>
      <w:ind w:left="284"/>
    </w:pPr>
    <w:rPr>
      <w:rFonts w:ascii="Times New Roman" w:hAnsi="Times New Roman"/>
    </w:rPr>
  </w:style>
  <w:style w:type="paragraph" w:styleId="TOC1">
    <w:name w:val="toc 1"/>
    <w:basedOn w:val="TOCBase"/>
    <w:next w:val="Normal"/>
    <w:rsid w:val="00E962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6211"/>
    <w:pPr>
      <w:spacing w:before="5040"/>
      <w:jc w:val="center"/>
    </w:pPr>
    <w:rPr>
      <w:sz w:val="48"/>
      <w:szCs w:val="72"/>
      <w:lang w:val="en-US"/>
    </w:rPr>
  </w:style>
  <w:style w:type="character" w:customStyle="1" w:styleId="TitleChar">
    <w:name w:val="Title Char"/>
    <w:basedOn w:val="DefaultParagraphFont"/>
    <w:link w:val="Title"/>
    <w:rsid w:val="00E962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6211"/>
    <w:pPr>
      <w:tabs>
        <w:tab w:val="left" w:pos="3600"/>
        <w:tab w:val="left" w:pos="3958"/>
      </w:tabs>
    </w:pPr>
  </w:style>
  <w:style w:type="paragraph" w:styleId="List">
    <w:name w:val="List"/>
    <w:basedOn w:val="BodyText"/>
    <w:next w:val="BodyText"/>
    <w:rsid w:val="00E96211"/>
    <w:pPr>
      <w:tabs>
        <w:tab w:val="left" w:pos="340"/>
      </w:tabs>
      <w:spacing w:before="60" w:after="60"/>
      <w:ind w:left="340" w:hanging="340"/>
    </w:pPr>
  </w:style>
  <w:style w:type="paragraph" w:customStyle="1" w:styleId="Note">
    <w:name w:val="Note"/>
    <w:basedOn w:val="BodyText"/>
    <w:rsid w:val="00E962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6211"/>
    <w:pPr>
      <w:framePr w:wrap="auto" w:hAnchor="text" w:y="6049"/>
    </w:pPr>
    <w:rPr>
      <w:color w:val="000000"/>
      <w:sz w:val="40"/>
    </w:rPr>
  </w:style>
  <w:style w:type="paragraph" w:customStyle="1" w:styleId="TOCTitle">
    <w:name w:val="TOCTitle"/>
    <w:basedOn w:val="Heading1"/>
    <w:rsid w:val="00E96211"/>
    <w:pPr>
      <w:spacing w:after="240"/>
      <w:jc w:val="center"/>
      <w:outlineLvl w:val="9"/>
    </w:pPr>
    <w:rPr>
      <w:caps/>
    </w:rPr>
  </w:style>
  <w:style w:type="paragraph" w:customStyle="1" w:styleId="Version">
    <w:name w:val="Version"/>
    <w:rsid w:val="00E962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6211"/>
    <w:pPr>
      <w:numPr>
        <w:numId w:val="13"/>
      </w:numPr>
      <w:tabs>
        <w:tab w:val="clear" w:pos="680"/>
      </w:tabs>
    </w:pPr>
  </w:style>
  <w:style w:type="paragraph" w:styleId="Index1">
    <w:name w:val="index 1"/>
    <w:basedOn w:val="Normal"/>
    <w:next w:val="Normal"/>
    <w:semiHidden/>
    <w:rsid w:val="00E96211"/>
    <w:pPr>
      <w:keepNext w:val="0"/>
      <w:tabs>
        <w:tab w:val="right" w:pos="4176"/>
      </w:tabs>
      <w:ind w:left="198" w:hanging="198"/>
    </w:pPr>
    <w:rPr>
      <w:rFonts w:ascii="Garamond" w:hAnsi="Garamond"/>
    </w:rPr>
  </w:style>
  <w:style w:type="paragraph" w:styleId="IndexHeading">
    <w:name w:val="index heading"/>
    <w:basedOn w:val="Normal"/>
    <w:next w:val="Index1"/>
    <w:semiHidden/>
    <w:rsid w:val="00E96211"/>
    <w:pPr>
      <w:spacing w:before="120" w:after="120"/>
    </w:pPr>
    <w:rPr>
      <w:rFonts w:ascii="Arial" w:hAnsi="Arial"/>
      <w:b/>
      <w:color w:val="918585"/>
      <w:sz w:val="24"/>
    </w:rPr>
  </w:style>
  <w:style w:type="paragraph" w:styleId="Header">
    <w:name w:val="header"/>
    <w:basedOn w:val="Normal"/>
    <w:link w:val="HeaderChar"/>
    <w:rsid w:val="00E962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6211"/>
    <w:rPr>
      <w:rFonts w:ascii="Times New Roman" w:eastAsia="Times New Roman" w:hAnsi="Times New Roman" w:cs="Times New Roman"/>
      <w:sz w:val="16"/>
      <w:szCs w:val="20"/>
      <w:lang w:val="en-GB" w:eastAsia="en-US"/>
    </w:rPr>
  </w:style>
  <w:style w:type="paragraph" w:customStyle="1" w:styleId="Chapter">
    <w:name w:val="Chapter"/>
    <w:basedOn w:val="Normal"/>
    <w:rsid w:val="00E96211"/>
    <w:pPr>
      <w:spacing w:before="240"/>
    </w:pPr>
    <w:rPr>
      <w:rFonts w:ascii="Times New Roman" w:hAnsi="Times New Roman"/>
      <w:smallCaps/>
      <w:spacing w:val="80"/>
      <w:sz w:val="28"/>
    </w:rPr>
  </w:style>
  <w:style w:type="paragraph" w:customStyle="1" w:styleId="InChapter">
    <w:name w:val="InChapter"/>
    <w:basedOn w:val="Heading3"/>
    <w:rsid w:val="00E96211"/>
    <w:pPr>
      <w:spacing w:after="240"/>
      <w:outlineLvl w:val="9"/>
    </w:pPr>
    <w:rPr>
      <w:noProof/>
    </w:rPr>
  </w:style>
  <w:style w:type="paragraph" w:styleId="Index2">
    <w:name w:val="index 2"/>
    <w:basedOn w:val="Normal"/>
    <w:next w:val="Normal"/>
    <w:semiHidden/>
    <w:rsid w:val="00E96211"/>
    <w:pPr>
      <w:tabs>
        <w:tab w:val="right" w:pos="4176"/>
      </w:tabs>
      <w:ind w:left="568" w:hanging="284"/>
    </w:pPr>
    <w:rPr>
      <w:rFonts w:ascii="Garamond" w:hAnsi="Garamond"/>
    </w:rPr>
  </w:style>
  <w:style w:type="paragraph" w:customStyle="1" w:styleId="Byline">
    <w:name w:val="Byline"/>
    <w:rsid w:val="00E962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6211"/>
    <w:pPr>
      <w:tabs>
        <w:tab w:val="clear" w:pos="3600"/>
        <w:tab w:val="clear" w:pos="3958"/>
      </w:tabs>
      <w:jc w:val="right"/>
    </w:pPr>
  </w:style>
  <w:style w:type="paragraph" w:styleId="Caption">
    <w:name w:val="caption"/>
    <w:basedOn w:val="BodyText"/>
    <w:next w:val="Normal"/>
    <w:qFormat/>
    <w:rsid w:val="00E96211"/>
    <w:pPr>
      <w:framePr w:w="2268" w:hSpace="181" w:vSpace="181" w:wrap="around" w:vAnchor="text" w:hAnchor="page" w:x="1135" w:y="285" w:anchorLock="1"/>
    </w:pPr>
    <w:rPr>
      <w:i/>
    </w:rPr>
  </w:style>
  <w:style w:type="paragraph" w:customStyle="1" w:styleId="MiniTOCTitle">
    <w:name w:val="MiniTOCTitle"/>
    <w:basedOn w:val="Heading4"/>
    <w:rsid w:val="00E96211"/>
    <w:pPr>
      <w:spacing w:before="240"/>
      <w:outlineLvl w:val="9"/>
    </w:pPr>
    <w:rPr>
      <w:noProof/>
      <w:sz w:val="24"/>
    </w:rPr>
  </w:style>
  <w:style w:type="paragraph" w:customStyle="1" w:styleId="MiniTOCItem">
    <w:name w:val="MiniTOCItem"/>
    <w:basedOn w:val="ListBullet"/>
    <w:rsid w:val="00E96211"/>
    <w:pPr>
      <w:numPr>
        <w:numId w:val="0"/>
      </w:numPr>
      <w:tabs>
        <w:tab w:val="right" w:leader="dot" w:pos="6521"/>
      </w:tabs>
      <w:spacing w:before="0" w:after="0"/>
    </w:pPr>
  </w:style>
  <w:style w:type="paragraph" w:customStyle="1" w:styleId="TOFTitle">
    <w:name w:val="TOFTitle"/>
    <w:basedOn w:val="TOCTitle"/>
    <w:rsid w:val="00E96211"/>
  </w:style>
  <w:style w:type="paragraph" w:styleId="TableofFigures">
    <w:name w:val="table of figures"/>
    <w:basedOn w:val="Normal"/>
    <w:next w:val="Normal"/>
    <w:semiHidden/>
    <w:rsid w:val="00E96211"/>
    <w:pPr>
      <w:tabs>
        <w:tab w:val="right" w:leader="dot" w:pos="9072"/>
      </w:tabs>
      <w:ind w:left="970" w:hanging="403"/>
    </w:pPr>
    <w:rPr>
      <w:rFonts w:ascii="Times New Roman" w:hAnsi="Times New Roman"/>
      <w:b/>
    </w:rPr>
  </w:style>
  <w:style w:type="paragraph" w:styleId="ListNumber">
    <w:name w:val="List Number"/>
    <w:basedOn w:val="List"/>
    <w:rsid w:val="00E96211"/>
    <w:pPr>
      <w:numPr>
        <w:numId w:val="10"/>
      </w:numPr>
    </w:pPr>
  </w:style>
  <w:style w:type="character" w:customStyle="1" w:styleId="WingdingSymbols">
    <w:name w:val="Wingding Symbols"/>
    <w:rsid w:val="00E96211"/>
    <w:rPr>
      <w:rFonts w:ascii="Wingdings" w:hAnsi="Wingdings"/>
    </w:rPr>
  </w:style>
  <w:style w:type="paragraph" w:customStyle="1" w:styleId="TableHeading">
    <w:name w:val="Table Heading"/>
    <w:basedOn w:val="HeadingBase"/>
    <w:rsid w:val="00E96211"/>
    <w:pPr>
      <w:keepLines/>
      <w:pBdr>
        <w:bottom w:val="single" w:sz="6" w:space="1" w:color="918585"/>
      </w:pBdr>
      <w:spacing w:before="240"/>
    </w:pPr>
  </w:style>
  <w:style w:type="character" w:customStyle="1" w:styleId="HotSpot">
    <w:name w:val="HotSpot"/>
    <w:rsid w:val="00E96211"/>
    <w:rPr>
      <w:color w:val="0033CC"/>
      <w:u w:val="none"/>
    </w:rPr>
  </w:style>
  <w:style w:type="paragraph" w:customStyle="1" w:styleId="BodyTextRight">
    <w:name w:val="Body Text Right"/>
    <w:basedOn w:val="BodyText"/>
    <w:rsid w:val="00E96211"/>
    <w:pPr>
      <w:spacing w:before="0" w:after="0"/>
      <w:jc w:val="right"/>
    </w:pPr>
  </w:style>
  <w:style w:type="paragraph" w:styleId="Index3">
    <w:name w:val="index 3"/>
    <w:basedOn w:val="ListNumber2"/>
    <w:next w:val="Normal"/>
    <w:semiHidden/>
    <w:rsid w:val="00E96211"/>
    <w:pPr>
      <w:numPr>
        <w:numId w:val="0"/>
      </w:numPr>
      <w:tabs>
        <w:tab w:val="right" w:leader="dot" w:pos="4176"/>
      </w:tabs>
    </w:pPr>
  </w:style>
  <w:style w:type="paragraph" w:styleId="ListNumber2">
    <w:name w:val="List Number 2"/>
    <w:basedOn w:val="List2"/>
    <w:rsid w:val="00E96211"/>
    <w:pPr>
      <w:numPr>
        <w:numId w:val="9"/>
      </w:numPr>
      <w:tabs>
        <w:tab w:val="clear" w:pos="1060"/>
      </w:tabs>
    </w:pPr>
  </w:style>
  <w:style w:type="paragraph" w:customStyle="1" w:styleId="MarginNote">
    <w:name w:val="Margin Note"/>
    <w:basedOn w:val="BodyText"/>
    <w:rsid w:val="00E962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62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62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6211"/>
    <w:rPr>
      <w:sz w:val="32"/>
    </w:rPr>
  </w:style>
  <w:style w:type="paragraph" w:customStyle="1" w:styleId="HeadingProcedure">
    <w:name w:val="Heading Procedure"/>
    <w:basedOn w:val="HeadingBase"/>
    <w:next w:val="Normal"/>
    <w:rsid w:val="00E96211"/>
    <w:pPr>
      <w:tabs>
        <w:tab w:val="left" w:pos="0"/>
      </w:tabs>
      <w:spacing w:before="120" w:after="60"/>
    </w:pPr>
    <w:rPr>
      <w:i/>
      <w:color w:val="918585"/>
      <w:sz w:val="22"/>
    </w:rPr>
  </w:style>
  <w:style w:type="paragraph" w:customStyle="1" w:styleId="TableBodyText">
    <w:name w:val="Table Body Text"/>
    <w:basedOn w:val="BodyText"/>
    <w:rsid w:val="00E96211"/>
    <w:pPr>
      <w:spacing w:before="60" w:after="60"/>
    </w:pPr>
  </w:style>
  <w:style w:type="paragraph" w:styleId="ListContinue">
    <w:name w:val="List Continue"/>
    <w:basedOn w:val="List"/>
    <w:rsid w:val="00E96211"/>
    <w:pPr>
      <w:ind w:firstLine="0"/>
    </w:pPr>
  </w:style>
  <w:style w:type="paragraph" w:customStyle="1" w:styleId="ListNote">
    <w:name w:val="List Note"/>
    <w:basedOn w:val="List"/>
    <w:rsid w:val="00E96211"/>
    <w:pPr>
      <w:pBdr>
        <w:top w:val="single" w:sz="6" w:space="2" w:color="918585"/>
        <w:bottom w:val="single" w:sz="6" w:space="2" w:color="918585"/>
      </w:pBdr>
      <w:tabs>
        <w:tab w:val="left" w:pos="1021"/>
      </w:tabs>
      <w:ind w:firstLine="0"/>
    </w:pPr>
  </w:style>
  <w:style w:type="paragraph" w:customStyle="1" w:styleId="Warning">
    <w:name w:val="Warning"/>
    <w:basedOn w:val="BodyText"/>
    <w:rsid w:val="00E96211"/>
    <w:pPr>
      <w:shd w:val="clear" w:color="auto" w:fill="D9D9D9"/>
      <w:tabs>
        <w:tab w:val="left" w:pos="992"/>
      </w:tabs>
      <w:ind w:left="119" w:right="119"/>
    </w:pPr>
    <w:rPr>
      <w:sz w:val="20"/>
    </w:rPr>
  </w:style>
  <w:style w:type="paragraph" w:customStyle="1" w:styleId="MarginIcons">
    <w:name w:val="Margin Icons"/>
    <w:basedOn w:val="BodyText"/>
    <w:rsid w:val="00E962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6211"/>
    <w:rPr>
      <w:rFonts w:ascii="Courier New" w:hAnsi="Courier New"/>
    </w:rPr>
  </w:style>
  <w:style w:type="paragraph" w:customStyle="1" w:styleId="NoteBullet">
    <w:name w:val="Note Bullet"/>
    <w:basedOn w:val="Note"/>
    <w:rsid w:val="00E96211"/>
    <w:pPr>
      <w:tabs>
        <w:tab w:val="clear" w:pos="680"/>
      </w:tabs>
      <w:spacing w:before="60" w:after="60"/>
    </w:pPr>
  </w:style>
  <w:style w:type="paragraph" w:customStyle="1" w:styleId="SubHeading2">
    <w:name w:val="SubHeading2"/>
    <w:basedOn w:val="HeadingBase"/>
    <w:rsid w:val="00E96211"/>
    <w:pPr>
      <w:spacing w:before="240" w:after="60"/>
    </w:pPr>
    <w:rPr>
      <w:sz w:val="20"/>
    </w:rPr>
  </w:style>
  <w:style w:type="paragraph" w:customStyle="1" w:styleId="SubHeading1">
    <w:name w:val="SubHeading1"/>
    <w:basedOn w:val="HeadingBase"/>
    <w:rsid w:val="00E96211"/>
    <w:pPr>
      <w:spacing w:before="240" w:after="60"/>
    </w:pPr>
    <w:rPr>
      <w:color w:val="918585"/>
      <w:sz w:val="22"/>
    </w:rPr>
  </w:style>
  <w:style w:type="paragraph" w:customStyle="1" w:styleId="SideHeading">
    <w:name w:val="Side Heading"/>
    <w:basedOn w:val="HeadingBase"/>
    <w:rsid w:val="00E962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6211"/>
    <w:pPr>
      <w:tabs>
        <w:tab w:val="num" w:pos="360"/>
      </w:tabs>
    </w:pPr>
  </w:style>
  <w:style w:type="paragraph" w:styleId="PlainText">
    <w:name w:val="Plain Text"/>
    <w:basedOn w:val="Normal"/>
    <w:link w:val="PlainTextChar"/>
    <w:rsid w:val="00E96211"/>
    <w:rPr>
      <w:sz w:val="20"/>
    </w:rPr>
  </w:style>
  <w:style w:type="character" w:customStyle="1" w:styleId="PlainTextChar">
    <w:name w:val="Plain Text Char"/>
    <w:basedOn w:val="DefaultParagraphFont"/>
    <w:link w:val="PlainText"/>
    <w:rsid w:val="00E96211"/>
    <w:rPr>
      <w:rFonts w:ascii="Courier New" w:eastAsia="Times New Roman" w:hAnsi="Courier New" w:cs="Times New Roman"/>
      <w:sz w:val="20"/>
      <w:szCs w:val="20"/>
      <w:lang w:eastAsia="en-US"/>
    </w:rPr>
  </w:style>
  <w:style w:type="character" w:customStyle="1" w:styleId="MenuOption">
    <w:name w:val="Menu Option"/>
    <w:basedOn w:val="DefaultParagraphFont"/>
    <w:rsid w:val="00E96211"/>
    <w:rPr>
      <w:b/>
      <w:smallCaps/>
    </w:rPr>
  </w:style>
  <w:style w:type="paragraph" w:customStyle="1" w:styleId="TableListNumber">
    <w:name w:val="Table List Number"/>
    <w:basedOn w:val="ListNumber"/>
    <w:rsid w:val="00E96211"/>
    <w:pPr>
      <w:numPr>
        <w:numId w:val="0"/>
      </w:numPr>
    </w:pPr>
  </w:style>
  <w:style w:type="paragraph" w:styleId="TOC4">
    <w:name w:val="toc 4"/>
    <w:basedOn w:val="TOCBase"/>
    <w:next w:val="Normal"/>
    <w:semiHidden/>
    <w:rsid w:val="00E96211"/>
    <w:pPr>
      <w:tabs>
        <w:tab w:val="right" w:leader="dot" w:pos="9071"/>
      </w:tabs>
      <w:ind w:left="1701"/>
    </w:pPr>
  </w:style>
  <w:style w:type="paragraph" w:customStyle="1" w:styleId="ListAlpha">
    <w:name w:val="List Alpha"/>
    <w:basedOn w:val="List"/>
    <w:rsid w:val="00E96211"/>
    <w:pPr>
      <w:numPr>
        <w:numId w:val="8"/>
      </w:numPr>
    </w:pPr>
  </w:style>
  <w:style w:type="paragraph" w:customStyle="1" w:styleId="ListAlpha2">
    <w:name w:val="List Alpha 2"/>
    <w:basedOn w:val="List2"/>
    <w:rsid w:val="00E96211"/>
    <w:pPr>
      <w:numPr>
        <w:numId w:val="7"/>
      </w:numPr>
    </w:pPr>
  </w:style>
  <w:style w:type="paragraph" w:styleId="List2">
    <w:name w:val="List 2"/>
    <w:basedOn w:val="BodyText"/>
    <w:rsid w:val="00E96211"/>
    <w:pPr>
      <w:tabs>
        <w:tab w:val="left" w:pos="680"/>
      </w:tabs>
      <w:spacing w:before="60" w:after="60"/>
      <w:ind w:left="680" w:hanging="340"/>
    </w:pPr>
  </w:style>
  <w:style w:type="paragraph" w:styleId="List3">
    <w:name w:val="List 3"/>
    <w:basedOn w:val="BodyText"/>
    <w:rsid w:val="00E96211"/>
    <w:pPr>
      <w:tabs>
        <w:tab w:val="left" w:pos="1021"/>
      </w:tabs>
      <w:spacing w:before="60" w:after="60"/>
      <w:ind w:left="1020" w:hanging="340"/>
    </w:pPr>
  </w:style>
  <w:style w:type="paragraph" w:styleId="List4">
    <w:name w:val="List 4"/>
    <w:basedOn w:val="BodyText"/>
    <w:rsid w:val="00E96211"/>
    <w:pPr>
      <w:tabs>
        <w:tab w:val="left" w:pos="1361"/>
      </w:tabs>
      <w:spacing w:before="60" w:after="60"/>
      <w:ind w:left="1361" w:hanging="340"/>
    </w:pPr>
  </w:style>
  <w:style w:type="paragraph" w:styleId="List5">
    <w:name w:val="List 5"/>
    <w:basedOn w:val="BodyText"/>
    <w:rsid w:val="00E96211"/>
    <w:pPr>
      <w:tabs>
        <w:tab w:val="left" w:pos="1701"/>
      </w:tabs>
      <w:spacing w:before="60" w:after="60"/>
      <w:ind w:left="1701" w:hanging="340"/>
    </w:pPr>
  </w:style>
  <w:style w:type="paragraph" w:styleId="ListBullet3">
    <w:name w:val="List Bullet 3"/>
    <w:basedOn w:val="List3"/>
    <w:rsid w:val="00E96211"/>
    <w:pPr>
      <w:numPr>
        <w:numId w:val="14"/>
      </w:numPr>
      <w:tabs>
        <w:tab w:val="clear" w:pos="1021"/>
      </w:tabs>
      <w:ind w:left="1037" w:hanging="357"/>
    </w:pPr>
  </w:style>
  <w:style w:type="paragraph" w:styleId="ListBullet4">
    <w:name w:val="List Bullet 4"/>
    <w:basedOn w:val="List4"/>
    <w:rsid w:val="00E96211"/>
    <w:pPr>
      <w:numPr>
        <w:numId w:val="2"/>
      </w:numPr>
    </w:pPr>
  </w:style>
  <w:style w:type="paragraph" w:styleId="ListBullet5">
    <w:name w:val="List Bullet 5"/>
    <w:basedOn w:val="List5"/>
    <w:rsid w:val="00E96211"/>
    <w:pPr>
      <w:numPr>
        <w:numId w:val="3"/>
      </w:numPr>
    </w:pPr>
  </w:style>
  <w:style w:type="paragraph" w:styleId="ListContinue2">
    <w:name w:val="List Continue 2"/>
    <w:basedOn w:val="List2"/>
    <w:rsid w:val="00E96211"/>
    <w:pPr>
      <w:ind w:firstLine="0"/>
    </w:pPr>
  </w:style>
  <w:style w:type="paragraph" w:styleId="ListContinue3">
    <w:name w:val="List Continue 3"/>
    <w:basedOn w:val="List3"/>
    <w:rsid w:val="00E96211"/>
    <w:pPr>
      <w:ind w:left="1021" w:firstLine="0"/>
    </w:pPr>
  </w:style>
  <w:style w:type="paragraph" w:styleId="ListContinue4">
    <w:name w:val="List Continue 4"/>
    <w:basedOn w:val="List4"/>
    <w:rsid w:val="00E96211"/>
    <w:pPr>
      <w:ind w:firstLine="0"/>
    </w:pPr>
  </w:style>
  <w:style w:type="paragraph" w:styleId="ListContinue5">
    <w:name w:val="List Continue 5"/>
    <w:basedOn w:val="List5"/>
    <w:rsid w:val="00E96211"/>
    <w:pPr>
      <w:ind w:firstLine="0"/>
    </w:pPr>
  </w:style>
  <w:style w:type="paragraph" w:styleId="ListNumber3">
    <w:name w:val="List Number 3"/>
    <w:basedOn w:val="List3"/>
    <w:rsid w:val="00E96211"/>
    <w:pPr>
      <w:numPr>
        <w:numId w:val="4"/>
      </w:numPr>
    </w:pPr>
  </w:style>
  <w:style w:type="paragraph" w:styleId="ListNumber4">
    <w:name w:val="List Number 4"/>
    <w:basedOn w:val="List4"/>
    <w:rsid w:val="00E96211"/>
    <w:pPr>
      <w:numPr>
        <w:numId w:val="5"/>
      </w:numPr>
    </w:pPr>
  </w:style>
  <w:style w:type="paragraph" w:styleId="ListNumber5">
    <w:name w:val="List Number 5"/>
    <w:basedOn w:val="List5"/>
    <w:rsid w:val="00E96211"/>
    <w:pPr>
      <w:numPr>
        <w:numId w:val="6"/>
      </w:numPr>
    </w:pPr>
  </w:style>
  <w:style w:type="paragraph" w:styleId="BlockText">
    <w:name w:val="Block Text"/>
    <w:basedOn w:val="Normal"/>
    <w:rsid w:val="00E96211"/>
    <w:pPr>
      <w:spacing w:after="120"/>
      <w:ind w:left="1440" w:right="1440"/>
    </w:pPr>
  </w:style>
  <w:style w:type="character" w:customStyle="1" w:styleId="Subscript">
    <w:name w:val="Subscript"/>
    <w:basedOn w:val="DefaultParagraphFont"/>
    <w:rsid w:val="00E96211"/>
    <w:rPr>
      <w:sz w:val="16"/>
      <w:vertAlign w:val="subscript"/>
    </w:rPr>
  </w:style>
  <w:style w:type="character" w:customStyle="1" w:styleId="Superscript">
    <w:name w:val="Superscript"/>
    <w:basedOn w:val="DefaultParagraphFont"/>
    <w:rsid w:val="00E96211"/>
    <w:rPr>
      <w:sz w:val="16"/>
      <w:vertAlign w:val="superscript"/>
    </w:rPr>
  </w:style>
  <w:style w:type="character" w:customStyle="1" w:styleId="Symbols">
    <w:name w:val="Symbols"/>
    <w:basedOn w:val="DefaultParagraphFont"/>
    <w:rsid w:val="00E96211"/>
    <w:rPr>
      <w:rFonts w:ascii="Symbol" w:hAnsi="Symbol"/>
    </w:rPr>
  </w:style>
  <w:style w:type="character" w:customStyle="1" w:styleId="MenuOptions">
    <w:name w:val="Menu Options"/>
    <w:basedOn w:val="DefaultParagraphFont"/>
    <w:rsid w:val="00E96211"/>
    <w:rPr>
      <w:rFonts w:ascii="Arial Narrow" w:hAnsi="Arial Narrow"/>
      <w:smallCaps/>
    </w:rPr>
  </w:style>
  <w:style w:type="character" w:customStyle="1" w:styleId="Buttons">
    <w:name w:val="Buttons"/>
    <w:basedOn w:val="DefaultParagraphFont"/>
    <w:rsid w:val="00E96211"/>
    <w:rPr>
      <w:b/>
    </w:rPr>
  </w:style>
  <w:style w:type="character" w:customStyle="1" w:styleId="Underlined">
    <w:name w:val="Underlined"/>
    <w:basedOn w:val="DefaultParagraphFont"/>
    <w:rsid w:val="00E96211"/>
    <w:rPr>
      <w:u w:val="single"/>
    </w:rPr>
  </w:style>
  <w:style w:type="paragraph" w:customStyle="1" w:styleId="TableBodyTextRight">
    <w:name w:val="Table Body Text Right"/>
    <w:basedOn w:val="TableBodyText"/>
    <w:rsid w:val="00E96211"/>
    <w:pPr>
      <w:widowControl w:val="0"/>
      <w:autoSpaceDE w:val="0"/>
      <w:autoSpaceDN w:val="0"/>
      <w:adjustRightInd w:val="0"/>
      <w:jc w:val="right"/>
    </w:pPr>
    <w:rPr>
      <w:rFonts w:cs="Arial"/>
      <w:szCs w:val="18"/>
    </w:rPr>
  </w:style>
  <w:style w:type="paragraph" w:customStyle="1" w:styleId="CopyrightText">
    <w:name w:val="Copyright Text"/>
    <w:basedOn w:val="BodyText"/>
    <w:rsid w:val="00E96211"/>
    <w:rPr>
      <w:sz w:val="18"/>
    </w:rPr>
  </w:style>
  <w:style w:type="paragraph" w:customStyle="1" w:styleId="BodySmallRight">
    <w:name w:val="Body Small Right"/>
    <w:basedOn w:val="BodyTextRight"/>
    <w:rsid w:val="00E96211"/>
    <w:rPr>
      <w:sz w:val="18"/>
      <w:szCs w:val="18"/>
    </w:rPr>
  </w:style>
  <w:style w:type="paragraph" w:customStyle="1" w:styleId="MarginEdition">
    <w:name w:val="Margin Edition"/>
    <w:basedOn w:val="MarginNote"/>
    <w:rsid w:val="00E96211"/>
    <w:pPr>
      <w:spacing w:before="0" w:after="0"/>
    </w:pPr>
    <w:rPr>
      <w:rFonts w:ascii="Times New Roman" w:hAnsi="Times New Roman"/>
      <w:color w:val="999999"/>
    </w:rPr>
  </w:style>
  <w:style w:type="paragraph" w:customStyle="1" w:styleId="Spacer">
    <w:name w:val="Spacer"/>
    <w:basedOn w:val="Normal"/>
    <w:rsid w:val="00E96211"/>
    <w:rPr>
      <w:sz w:val="2"/>
      <w:szCs w:val="2"/>
    </w:rPr>
  </w:style>
  <w:style w:type="character" w:customStyle="1" w:styleId="Small">
    <w:name w:val="Small"/>
    <w:basedOn w:val="DefaultParagraphFont"/>
    <w:rsid w:val="00E96211"/>
    <w:rPr>
      <w:sz w:val="16"/>
    </w:rPr>
  </w:style>
  <w:style w:type="paragraph" w:customStyle="1" w:styleId="WideTable">
    <w:name w:val="Wide Table"/>
    <w:basedOn w:val="Normal"/>
    <w:rsid w:val="00E96211"/>
    <w:pPr>
      <w:ind w:left="-1418"/>
    </w:pPr>
    <w:rPr>
      <w:sz w:val="2"/>
      <w:szCs w:val="2"/>
    </w:rPr>
  </w:style>
  <w:style w:type="character" w:styleId="PageNumber">
    <w:name w:val="page number"/>
    <w:basedOn w:val="DefaultParagraphFont"/>
    <w:rsid w:val="00E96211"/>
  </w:style>
  <w:style w:type="paragraph" w:styleId="Quote">
    <w:name w:val="Quote"/>
    <w:basedOn w:val="Heading1"/>
    <w:link w:val="QuoteChar"/>
    <w:qFormat/>
    <w:rsid w:val="00E96211"/>
    <w:rPr>
      <w:b w:val="0"/>
      <w:sz w:val="72"/>
      <w:szCs w:val="72"/>
      <w:lang w:val="en-NZ"/>
    </w:rPr>
  </w:style>
  <w:style w:type="character" w:customStyle="1" w:styleId="QuoteChar">
    <w:name w:val="Quote Char"/>
    <w:basedOn w:val="DefaultParagraphFont"/>
    <w:link w:val="Quote"/>
    <w:rsid w:val="00E962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6211"/>
    <w:pPr>
      <w:pageBreakBefore/>
    </w:pPr>
  </w:style>
  <w:style w:type="paragraph" w:customStyle="1" w:styleId="Border">
    <w:name w:val="Border"/>
    <w:basedOn w:val="Normal"/>
    <w:qFormat/>
    <w:rsid w:val="00E962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6211"/>
    <w:rPr>
      <w:b/>
      <w:bCs/>
      <w:i/>
      <w:iCs/>
      <w:color w:val="auto"/>
    </w:rPr>
  </w:style>
  <w:style w:type="paragraph" w:styleId="IntenseQuote">
    <w:name w:val="Intense Quote"/>
    <w:basedOn w:val="Normal"/>
    <w:next w:val="Normal"/>
    <w:link w:val="IntenseQuoteChar"/>
    <w:uiPriority w:val="30"/>
    <w:qFormat/>
    <w:rsid w:val="00E962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62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6211"/>
    <w:rPr>
      <w:smallCaps/>
      <w:color w:val="auto"/>
      <w:u w:val="single"/>
    </w:rPr>
  </w:style>
  <w:style w:type="character" w:styleId="IntenseReference">
    <w:name w:val="Intense Reference"/>
    <w:basedOn w:val="DefaultParagraphFont"/>
    <w:uiPriority w:val="32"/>
    <w:qFormat/>
    <w:rsid w:val="00E96211"/>
    <w:rPr>
      <w:b/>
      <w:bCs/>
      <w:smallCaps/>
      <w:color w:val="auto"/>
      <w:spacing w:val="5"/>
      <w:u w:val="single"/>
    </w:rPr>
  </w:style>
  <w:style w:type="paragraph" w:customStyle="1" w:styleId="2ColumnHeading">
    <w:name w:val="2Column Heading"/>
    <w:basedOn w:val="BodyText"/>
    <w:qFormat/>
    <w:rsid w:val="00E96211"/>
    <w:pPr>
      <w:spacing w:after="60"/>
      <w:ind w:left="-2268"/>
    </w:pPr>
    <w:rPr>
      <w:b/>
    </w:rPr>
  </w:style>
  <w:style w:type="paragraph" w:customStyle="1" w:styleId="Heading1TOC">
    <w:name w:val="Heading1 TOC"/>
    <w:basedOn w:val="Normal"/>
    <w:qFormat/>
    <w:rsid w:val="00E96211"/>
    <w:pPr>
      <w:spacing w:before="240" w:after="120"/>
    </w:pPr>
    <w:rPr>
      <w:rFonts w:ascii="Times New Roman" w:hAnsi="Times New Roman"/>
      <w:b/>
      <w:sz w:val="32"/>
    </w:rPr>
  </w:style>
  <w:style w:type="paragraph" w:customStyle="1" w:styleId="Heading2TOC">
    <w:name w:val="Heading2 TOC"/>
    <w:basedOn w:val="Normal"/>
    <w:qFormat/>
    <w:rsid w:val="00E96211"/>
    <w:pPr>
      <w:spacing w:before="240" w:after="60"/>
    </w:pPr>
    <w:rPr>
      <w:rFonts w:ascii="Times New Roman" w:hAnsi="Times New Roman"/>
      <w:b/>
      <w:sz w:val="28"/>
    </w:rPr>
  </w:style>
  <w:style w:type="character" w:customStyle="1" w:styleId="Underline">
    <w:name w:val="Underline"/>
    <w:basedOn w:val="DefaultParagraphFont"/>
    <w:qFormat/>
    <w:rsid w:val="00E96211"/>
    <w:rPr>
      <w:u w:val="single"/>
    </w:rPr>
  </w:style>
  <w:style w:type="character" w:customStyle="1" w:styleId="BoldandItalics">
    <w:name w:val="Bold and Italics"/>
    <w:qFormat/>
    <w:rsid w:val="00E96211"/>
    <w:rPr>
      <w:b/>
      <w:i/>
      <w:u w:val="none"/>
    </w:rPr>
  </w:style>
  <w:style w:type="paragraph" w:styleId="BalloonText">
    <w:name w:val="Balloon Text"/>
    <w:basedOn w:val="Normal"/>
    <w:link w:val="BalloonTextChar"/>
    <w:rsid w:val="00E96211"/>
    <w:rPr>
      <w:rFonts w:ascii="Tahoma" w:hAnsi="Tahoma" w:cs="Tahoma"/>
      <w:sz w:val="16"/>
      <w:szCs w:val="16"/>
    </w:rPr>
  </w:style>
  <w:style w:type="character" w:customStyle="1" w:styleId="BalloonTextChar">
    <w:name w:val="Balloon Text Char"/>
    <w:basedOn w:val="DefaultParagraphFont"/>
    <w:link w:val="BalloonText"/>
    <w:rsid w:val="00E962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62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62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6211"/>
    <w:rPr>
      <w:b/>
      <w:color w:val="660033"/>
      <w:spacing w:val="0"/>
    </w:rPr>
  </w:style>
  <w:style w:type="paragraph" w:customStyle="1" w:styleId="Nameditemlist">
    <w:name w:val="Named item list"/>
    <w:basedOn w:val="BodyText"/>
    <w:qFormat/>
    <w:rsid w:val="00E9621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1744</Words>
  <Characters>10376</Characters>
  <Application>Microsoft Office Word</Application>
  <DocSecurity>0</DocSecurity>
  <Lines>343</Lines>
  <Paragraphs>155</Paragraphs>
  <ScaleCrop>false</ScaleCrop>
  <Company>Author-it Software Corporation Ltd.</Company>
  <LinksUpToDate>false</LinksUpToDate>
  <CharactersWithSpaces>12085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CHCPW401A Apply peer work practices in the mental health sector</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2012-08-13T23:35:00Z</dcterms:created>
  <dcterms:modified xsi:type="dcterms:W3CDTF">2012-08-13T23:35:00Z</dcterms:modified>
</cp:coreProperties>
</file>