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E7A" w:rsidP="00605E7A">
      <w:pPr>
        <w:pStyle w:val="Title"/>
      </w:pPr>
      <w:bookmarkStart w:id="0" w:name="_GoBack"/>
      <w:bookmarkEnd w:id="0"/>
      <w:r>
        <w:fldChar w:fldCharType="begin"/>
      </w:r>
      <w:r>
        <w:instrText xml:space="preserve"> TITLE   \* MERGEFORMAT </w:instrText>
      </w:r>
      <w:r>
        <w:fldChar w:fldCharType="separate"/>
      </w:r>
      <w:r>
        <w:t>CHCMH409A Facilitate consumer, family and carer participation in the recovery process</w:t>
      </w:r>
      <w:r>
        <w:fldChar w:fldCharType="end"/>
      </w:r>
    </w:p>
    <w:p w:rsidR="00605E7A" w:rsidP="00605E7A">
      <w:pPr>
        <w:pStyle w:val="Version"/>
        <w:sectPr w:rsidSect="00D325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5EE" w:rsidP="00D325EE">
      <w:pPr>
        <w:pStyle w:val="SuperHeading"/>
      </w:pPr>
      <w:r w:rsidRPr="00D325EE">
        <w:t>CHCMH409A Facilitate consumer, family and carer participation in the recovery process</w:t>
      </w:r>
    </w:p>
    <w:p w:rsidR="00000000" w:rsidRPr="00D325EE" w:rsidP="00D325EE">
      <w:pPr>
        <w:pStyle w:val="Heading1"/>
      </w:pPr>
      <w:bookmarkStart w:id="1" w:name="O_269251"/>
      <w:bookmarkEnd w:id="1"/>
      <w:r w:rsidRPr="00D325EE">
        <w:t>Modification History</w:t>
      </w:r>
    </w:p>
    <w:p w:rsidR="00000000" w:rsidRPr="00D325EE" w:rsidP="00D325EE">
      <w:pPr>
        <w:pStyle w:val="BodyText"/>
      </w:pPr>
      <w:r w:rsidRPr="00D325EE">
        <w:t>Not Applicable</w:t>
      </w:r>
    </w:p>
    <w:p w:rsidR="00000000" w:rsidRPr="00D325EE" w:rsidP="00D325EE">
      <w:pPr>
        <w:pStyle w:val="AllowPageBreak"/>
      </w:pPr>
    </w:p>
    <w:p w:rsidR="00000000" w:rsidRPr="00D325EE" w:rsidP="00D325EE">
      <w:pPr>
        <w:pStyle w:val="Heading1"/>
      </w:pPr>
      <w:bookmarkStart w:id="2" w:name="O_196199"/>
      <w:bookmarkEnd w:id="2"/>
      <w:r w:rsidRPr="00D325EE">
        <w:t>Unit Descri</w:t>
      </w:r>
      <w:r w:rsidRPr="00D325EE">
        <w:t>ptor</w:t>
      </w:r>
    </w:p>
    <w:tbl>
      <w:tblPr>
        <w:tblW w:w="0" w:type="auto"/>
        <w:tblLayout w:type="fixed"/>
        <w:tblCellMar>
          <w:left w:w="62" w:type="dxa"/>
          <w:right w:w="62" w:type="dxa"/>
        </w:tblCellMar>
        <w:tblLook w:val="0000"/>
      </w:tblPr>
      <w:tblGrid>
        <w:gridCol w:w="3336"/>
        <w:gridCol w:w="5220"/>
      </w:tblGrid>
      <w:tr w:rsidTr="00605E7A">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r w:rsidRPr="00D325EE">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D325EE" w:rsidP="00D325EE">
            <w:pPr>
              <w:pStyle w:val="BodyText"/>
            </w:pPr>
            <w:r w:rsidRPr="00D325EE">
              <w:t>This unit describes the knowledge and skills required by workers to work collaboratively with a person with mental health issues to establish a basis for participation of family and carers in their individual recovery process and to facilit</w:t>
            </w:r>
            <w:r w:rsidRPr="00D325EE">
              <w:t>ate ongoing participation in line with the client's needs and wishes</w:t>
            </w:r>
          </w:p>
        </w:tc>
      </w:tr>
    </w:tbl>
    <w:p w:rsidR="00605E7A" w:rsidP="00D325EE">
      <w:pPr>
        <w:pStyle w:val="BodyText"/>
      </w:pPr>
    </w:p>
    <w:p w:rsidR="00605E7A" w:rsidP="00D325EE">
      <w:pPr>
        <w:pStyle w:val="BodyText"/>
      </w:pPr>
    </w:p>
    <w:p w:rsidR="00000000" w:rsidRPr="00D325EE" w:rsidP="00D325EE">
      <w:pPr>
        <w:pStyle w:val="Heading1"/>
      </w:pPr>
      <w:bookmarkStart w:id="3" w:name="O_196201"/>
      <w:bookmarkEnd w:id="3"/>
      <w:r w:rsidRPr="00D325EE">
        <w:t>Application of the Unit</w:t>
      </w:r>
    </w:p>
    <w:tbl>
      <w:tblPr>
        <w:tblW w:w="0" w:type="auto"/>
        <w:tblLayout w:type="fixed"/>
        <w:tblCellMar>
          <w:left w:w="62" w:type="dxa"/>
          <w:right w:w="62" w:type="dxa"/>
        </w:tblCellMar>
        <w:tblLook w:val="0000"/>
      </w:tblPr>
      <w:tblGrid>
        <w:gridCol w:w="3349"/>
        <w:gridCol w:w="5207"/>
      </w:tblGrid>
      <w:tr w:rsidTr="00605E7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r w:rsidRPr="00D325E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325EE" w:rsidP="00D325EE">
            <w:pPr>
              <w:pStyle w:val="BodyText"/>
            </w:pPr>
            <w:r w:rsidRPr="00D325EE">
              <w:t>This unit applies to work with people with mental health issues in a range of community services work contexts</w:t>
            </w:r>
          </w:p>
          <w:p w:rsidR="00000000" w:rsidRPr="00D325EE" w:rsidP="00D325EE">
            <w:pPr>
              <w:pStyle w:val="BodyText"/>
            </w:pPr>
            <w:r w:rsidRPr="00D325EE">
              <w:t>This work is conducted under the broad direction of others with minimal supervision</w:t>
            </w:r>
          </w:p>
        </w:tc>
      </w:tr>
    </w:tbl>
    <w:p w:rsidR="00605E7A" w:rsidP="00D325EE">
      <w:pPr>
        <w:pStyle w:val="BodyText"/>
      </w:pPr>
    </w:p>
    <w:p w:rsidR="00605E7A" w:rsidP="00D325EE">
      <w:pPr>
        <w:pStyle w:val="BodyText"/>
      </w:pPr>
    </w:p>
    <w:p w:rsidR="00000000" w:rsidRPr="00D325EE" w:rsidP="00D325EE">
      <w:pPr>
        <w:pStyle w:val="Heading1"/>
      </w:pPr>
      <w:bookmarkStart w:id="4" w:name="O_277511"/>
      <w:bookmarkEnd w:id="4"/>
      <w:r w:rsidRPr="00D325EE">
        <w:t>Licensing/Regulatory Information</w:t>
      </w:r>
    </w:p>
    <w:p w:rsidR="00000000" w:rsidRPr="00D325EE" w:rsidP="00D325EE">
      <w:pPr>
        <w:pStyle w:val="BodyText"/>
      </w:pPr>
      <w:r w:rsidRPr="00D325EE">
        <w:t>Not Applicable</w:t>
      </w:r>
    </w:p>
    <w:p w:rsidR="00000000" w:rsidRPr="00D325EE" w:rsidP="00D325EE">
      <w:pPr>
        <w:pStyle w:val="AllowPageBreak"/>
      </w:pPr>
    </w:p>
    <w:p w:rsidR="00000000" w:rsidRPr="00D325EE" w:rsidP="00D325EE">
      <w:pPr>
        <w:pStyle w:val="Heading1"/>
      </w:pPr>
      <w:bookmarkStart w:id="5" w:name="O_283350"/>
      <w:bookmarkEnd w:id="5"/>
      <w:r w:rsidRPr="00D325EE">
        <w:t>Pre-Requisites</w:t>
      </w:r>
    </w:p>
    <w:p w:rsidR="00000000" w:rsidRPr="00D325EE" w:rsidP="00D325EE">
      <w:pPr>
        <w:pStyle w:val="BodyText"/>
      </w:pPr>
      <w:r w:rsidRPr="00D325EE">
        <w:t>Not Applicable</w:t>
      </w:r>
    </w:p>
    <w:p w:rsidR="00000000" w:rsidRPr="00D325EE" w:rsidP="00D325EE">
      <w:pPr>
        <w:pStyle w:val="AllowPageBreak"/>
      </w:pPr>
    </w:p>
    <w:p w:rsidR="00000000" w:rsidRPr="00D325EE" w:rsidP="00D325EE">
      <w:pPr>
        <w:pStyle w:val="Heading1"/>
      </w:pPr>
      <w:bookmarkStart w:id="6" w:name="O_196200"/>
      <w:bookmarkEnd w:id="6"/>
      <w:r w:rsidRPr="00D325EE">
        <w:t>Employability Skills Information</w:t>
      </w:r>
    </w:p>
    <w:tbl>
      <w:tblPr>
        <w:tblW w:w="0" w:type="auto"/>
        <w:tblLayout w:type="fixed"/>
        <w:tblCellMar>
          <w:left w:w="62" w:type="dxa"/>
          <w:right w:w="62" w:type="dxa"/>
        </w:tblCellMar>
        <w:tblLook w:val="0000"/>
      </w:tblPr>
      <w:tblGrid>
        <w:gridCol w:w="3320"/>
        <w:gridCol w:w="5236"/>
      </w:tblGrid>
      <w:tr w:rsidTr="00605E7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r w:rsidRPr="00D325E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325EE" w:rsidP="00D325EE">
            <w:pPr>
              <w:pStyle w:val="BodyText"/>
            </w:pPr>
            <w:r w:rsidRPr="00D325EE">
              <w:t>This unit contains Employability Skills</w:t>
            </w:r>
          </w:p>
        </w:tc>
      </w:tr>
    </w:tbl>
    <w:p w:rsidR="00605E7A" w:rsidP="00D325EE">
      <w:pPr>
        <w:pStyle w:val="BodyText"/>
      </w:pPr>
    </w:p>
    <w:p w:rsidR="00605E7A" w:rsidP="00D325EE">
      <w:pPr>
        <w:pStyle w:val="BodyText"/>
      </w:pPr>
    </w:p>
    <w:p w:rsidR="00000000" w:rsidRPr="00D325EE" w:rsidP="00D325EE">
      <w:pPr>
        <w:pStyle w:val="Heading1"/>
      </w:pPr>
      <w:bookmarkStart w:id="7" w:name="O_287297"/>
      <w:bookmarkEnd w:id="7"/>
      <w:r w:rsidRPr="00D325EE">
        <w:t>Elements and Performance Criteria Pre-Content</w:t>
      </w:r>
    </w:p>
    <w:tbl>
      <w:tblPr>
        <w:tblW w:w="0" w:type="auto"/>
        <w:tblLayout w:type="fixed"/>
        <w:tblCellMar>
          <w:left w:w="62" w:type="dxa"/>
          <w:right w:w="62" w:type="dxa"/>
        </w:tblCellMar>
        <w:tblLook w:val="0000"/>
      </w:tblPr>
      <w:tblGrid>
        <w:gridCol w:w="3369"/>
        <w:gridCol w:w="5702"/>
      </w:tblGrid>
      <w:tr w:rsidTr="00605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r w:rsidRPr="00D325E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325EE" w:rsidP="00D325EE">
            <w:pPr>
              <w:pStyle w:val="BodyText"/>
            </w:pPr>
            <w:r w:rsidRPr="00D325EE">
              <w:t>The Performance Criteria specify the level of performance require</w:t>
            </w:r>
            <w:r w:rsidRPr="00D325EE">
              <w:t xml:space="preserve">d to demonstrate achievement of the Element. Terms in italics are elaborated in the Range Statement. </w:t>
            </w:r>
          </w:p>
        </w:tc>
      </w:tr>
    </w:tbl>
    <w:p w:rsidR="00000000" w:rsidRPr="00D325EE" w:rsidP="00D325EE">
      <w:pPr>
        <w:pStyle w:val="BodyText"/>
      </w:pPr>
    </w:p>
    <w:p w:rsidR="00000000" w:rsidRPr="00D325EE" w:rsidP="00D325EE">
      <w:pPr>
        <w:pStyle w:val="AllowPageBreak"/>
      </w:pPr>
    </w:p>
    <w:p w:rsidR="00000000" w:rsidRPr="00D325EE" w:rsidP="00D325EE">
      <w:pPr>
        <w:pStyle w:val="Heading1"/>
      </w:pPr>
      <w:bookmarkStart w:id="8" w:name="O_233964"/>
      <w:bookmarkEnd w:id="8"/>
      <w:r w:rsidRPr="00D325EE">
        <w:t>Elements and Performance Criteria</w:t>
      </w:r>
    </w:p>
    <w:tbl>
      <w:tblPr>
        <w:tblW w:w="0" w:type="auto"/>
        <w:tblLayout w:type="fixed"/>
        <w:tblCellMar>
          <w:left w:w="62" w:type="dxa"/>
          <w:right w:w="62" w:type="dxa"/>
        </w:tblCellMar>
        <w:tblLook w:val="0000"/>
      </w:tblPr>
      <w:tblGrid>
        <w:gridCol w:w="3369"/>
        <w:gridCol w:w="5702"/>
      </w:tblGrid>
      <w:tr w:rsidTr="00605E7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325EE" w:rsidP="00D325EE">
            <w:pPr>
              <w:pStyle w:val="BodyText"/>
            </w:pPr>
            <w:r w:rsidRPr="00D325E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r w:rsidRPr="00D325EE">
              <w:rPr>
                <w:rStyle w:val="SpecialBold"/>
              </w:rPr>
              <w:t>PERFORMANCE CRITERIA</w:t>
            </w:r>
          </w:p>
        </w:tc>
      </w:tr>
      <w:tr w:rsidTr="00605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25EE">
            <w:pPr>
              <w:pStyle w:val="List"/>
              <w:rPr>
                <w:lang w:val="en-NZ"/>
              </w:rPr>
            </w:pPr>
            <w:r w:rsidRPr="00D325EE">
              <w:t>1.</w:t>
            </w:r>
            <w:r w:rsidRPr="00D325EE">
              <w:tab/>
            </w:r>
            <w:r w:rsidRPr="00D325EE">
              <w:t>Apply principles and practices of consumer and carer participation in mental health work</w:t>
            </w:r>
          </w:p>
        </w:tc>
        <w:tc>
          <w:tcPr>
            <w:tcW w:w="5702" w:type="dxa"/>
            <w:tcBorders>
              <w:top w:val="nil"/>
              <w:left w:val="nil"/>
              <w:bottom w:val="nil"/>
              <w:right w:val="nil"/>
            </w:tcBorders>
            <w:tcMar>
              <w:top w:w="0" w:type="dxa"/>
              <w:left w:w="62" w:type="dxa"/>
              <w:bottom w:w="0" w:type="dxa"/>
              <w:right w:w="62" w:type="dxa"/>
            </w:tcMar>
          </w:tcPr>
          <w:p w:rsidR="00000000" w:rsidRPr="00D325EE" w:rsidP="00D325EE">
            <w:pPr>
              <w:pStyle w:val="BodyText"/>
            </w:pPr>
            <w:r w:rsidRPr="00D325EE">
              <w:t>1.1</w:t>
            </w:r>
            <w:r w:rsidRPr="00D325EE">
              <w:tab/>
              <w:t xml:space="preserve">Approach mental health work in collaboration with consumers and other relevant stakeholders to ensure effective participation in line with organisation policy and </w:t>
            </w:r>
            <w:r w:rsidRPr="00D325EE">
              <w:t>industry standards</w:t>
            </w:r>
          </w:p>
          <w:p w:rsidR="00000000" w:rsidRPr="00D325EE" w:rsidP="00D325EE">
            <w:pPr>
              <w:pStyle w:val="BodyText"/>
            </w:pPr>
            <w:r w:rsidRPr="00D325EE">
              <w:t>1.2</w:t>
            </w:r>
            <w:r w:rsidRPr="00D325EE">
              <w:tab/>
              <w:t xml:space="preserve">Identify benefits and issues related to family and </w:t>
            </w:r>
            <w:r w:rsidRPr="00D325EE">
              <w:rPr>
                <w:rStyle w:val="Emphasis"/>
              </w:rPr>
              <w:t>carer</w:t>
            </w:r>
            <w:r w:rsidRPr="00D325EE">
              <w:t xml:space="preserve"> participation in recovery processes for people with mental health issues</w:t>
            </w:r>
          </w:p>
          <w:p w:rsidR="00000000" w:rsidRPr="00D325EE" w:rsidP="00D325EE">
            <w:pPr>
              <w:pStyle w:val="BodyText"/>
            </w:pPr>
            <w:r w:rsidRPr="00D325EE">
              <w:t>1.3</w:t>
            </w:r>
            <w:r w:rsidRPr="00D325EE">
              <w:tab/>
              <w:t>Identify principles and practices underpinning consumer and carer participation and contribute to m</w:t>
            </w:r>
            <w:r w:rsidRPr="00D325EE">
              <w:t>aintaining ongoing relevance of organisation's policies and procedures in this respect</w:t>
            </w:r>
          </w:p>
          <w:p w:rsidR="00000000" w:rsidP="00D325EE">
            <w:pPr>
              <w:pStyle w:val="BodyText"/>
              <w:rPr>
                <w:lang w:val="en-NZ"/>
              </w:rPr>
            </w:pPr>
            <w:r w:rsidRPr="00D325EE">
              <w:t>1.4</w:t>
            </w:r>
            <w:r w:rsidRPr="00D325EE">
              <w:tab/>
              <w:t>Develop and maintain knowledge of relevant and available consumer and carer services and resources</w:t>
            </w:r>
          </w:p>
        </w:tc>
      </w:tr>
      <w:tr w:rsidTr="00605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p>
        </w:tc>
      </w:tr>
      <w:tr w:rsidTr="00605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25EE">
            <w:pPr>
              <w:pStyle w:val="List"/>
              <w:rPr>
                <w:lang w:val="en-NZ"/>
              </w:rPr>
            </w:pPr>
            <w:r w:rsidRPr="00D325EE">
              <w:t>2.</w:t>
            </w:r>
            <w:r w:rsidRPr="00D325EE">
              <w:tab/>
            </w:r>
            <w:r w:rsidRPr="00D325EE">
              <w:t>Involve consumers, carers and families in planning support during recovery</w:t>
            </w:r>
          </w:p>
        </w:tc>
        <w:tc>
          <w:tcPr>
            <w:tcW w:w="5702" w:type="dxa"/>
            <w:tcBorders>
              <w:top w:val="nil"/>
              <w:left w:val="nil"/>
              <w:bottom w:val="nil"/>
              <w:right w:val="nil"/>
            </w:tcBorders>
            <w:tcMar>
              <w:top w:w="0" w:type="dxa"/>
              <w:left w:w="62" w:type="dxa"/>
              <w:bottom w:w="0" w:type="dxa"/>
              <w:right w:w="62" w:type="dxa"/>
            </w:tcMar>
          </w:tcPr>
          <w:p w:rsidR="00000000" w:rsidRPr="00D325EE" w:rsidP="00D325EE">
            <w:pPr>
              <w:pStyle w:val="BodyText"/>
            </w:pPr>
            <w:r w:rsidRPr="00D325EE">
              <w:t>2.1</w:t>
            </w:r>
            <w:r w:rsidRPr="00D325EE">
              <w:tab/>
              <w:t xml:space="preserve">Consult with consumer to identify appropriate involvement of family and carers </w:t>
            </w:r>
          </w:p>
          <w:p w:rsidR="00000000" w:rsidRPr="00D325EE" w:rsidP="00D325EE">
            <w:pPr>
              <w:pStyle w:val="BodyText"/>
            </w:pPr>
            <w:r w:rsidRPr="00D325EE">
              <w:t>2.2</w:t>
            </w:r>
            <w:r w:rsidRPr="00D325EE">
              <w:tab/>
              <w:t>Work with consumer to identify and agree on specific roles and responsibilities for individua</w:t>
            </w:r>
            <w:r w:rsidRPr="00D325EE">
              <w:t>l family members and carers and document in consumer recovery plan</w:t>
            </w:r>
          </w:p>
          <w:p w:rsidR="00000000" w:rsidRPr="00D325EE" w:rsidP="00D325EE">
            <w:pPr>
              <w:pStyle w:val="BodyText"/>
            </w:pPr>
            <w:r w:rsidRPr="00D325EE">
              <w:t>2.3</w:t>
            </w:r>
            <w:r w:rsidRPr="00D325EE">
              <w:tab/>
            </w:r>
            <w:r w:rsidRPr="00D325EE">
              <w:rPr>
                <w:rStyle w:val="Emphasis"/>
              </w:rPr>
              <w:t>Consult with family</w:t>
            </w:r>
            <w:r w:rsidRPr="00D325EE">
              <w:t xml:space="preserve">, </w:t>
            </w:r>
            <w:r w:rsidRPr="00D325EE">
              <w:rPr>
                <w:rStyle w:val="Emphasis"/>
              </w:rPr>
              <w:t>carers and other relevant stakeholders</w:t>
            </w:r>
            <w:r w:rsidRPr="00D325EE">
              <w:t xml:space="preserve"> as required in line with consumer </w:t>
            </w:r>
            <w:r w:rsidRPr="00D325EE">
              <w:rPr>
                <w:rStyle w:val="Emphasis"/>
              </w:rPr>
              <w:t>consent</w:t>
            </w:r>
            <w:r w:rsidRPr="00D325EE">
              <w:t xml:space="preserve"> </w:t>
            </w:r>
          </w:p>
          <w:p w:rsidR="00000000" w:rsidRPr="00D325EE" w:rsidP="00D325EE">
            <w:pPr>
              <w:pStyle w:val="BodyText"/>
            </w:pPr>
            <w:r w:rsidRPr="00D325EE">
              <w:t>2.4</w:t>
            </w:r>
            <w:r w:rsidRPr="00D325EE">
              <w:tab/>
              <w:t xml:space="preserve">Gauge level of relevant knowledge, skill and involvement of carers and family </w:t>
            </w:r>
            <w:r w:rsidRPr="00D325EE">
              <w:t>as a basis for identifying additional consumer support requirements</w:t>
            </w:r>
          </w:p>
          <w:p w:rsidR="00000000" w:rsidRPr="00D325EE" w:rsidP="00D325EE">
            <w:pPr>
              <w:pStyle w:val="BodyText"/>
            </w:pPr>
            <w:r w:rsidRPr="00D325EE">
              <w:t>2.5</w:t>
            </w:r>
            <w:r w:rsidRPr="00D325EE">
              <w:tab/>
              <w:t>Provide relevant information, resources, referrals and education to meet needs of carers and families within scope of own work role</w:t>
            </w:r>
          </w:p>
          <w:p w:rsidR="00000000" w:rsidRPr="00D325EE" w:rsidP="00D325EE">
            <w:pPr>
              <w:pStyle w:val="BodyText"/>
            </w:pPr>
            <w:r w:rsidRPr="00D325EE">
              <w:t>2.6</w:t>
            </w:r>
            <w:r w:rsidRPr="00D325EE">
              <w:tab/>
              <w:t xml:space="preserve">Engage with consumer, family and carers to plan </w:t>
            </w:r>
            <w:r w:rsidRPr="00D325EE">
              <w:t>provision of appropriate support to consumer in line with consumer consent</w:t>
            </w:r>
          </w:p>
          <w:p w:rsidR="00000000" w:rsidRPr="00D325EE" w:rsidP="00D325EE">
            <w:pPr>
              <w:pStyle w:val="BodyText"/>
            </w:pPr>
            <w:r w:rsidRPr="00D325EE">
              <w:t>2.7</w:t>
            </w:r>
            <w:r w:rsidRPr="00D325EE">
              <w:tab/>
              <w:t>Establish and maintain a relationship with consumer, family and carers within boundaries of own work role</w:t>
            </w:r>
          </w:p>
          <w:p w:rsidR="00000000" w:rsidP="00D325EE">
            <w:pPr>
              <w:pStyle w:val="BodyText"/>
              <w:rPr>
                <w:lang w:val="en-NZ"/>
              </w:rPr>
            </w:pPr>
            <w:r w:rsidRPr="00D325EE">
              <w:t>2.8</w:t>
            </w:r>
            <w:r w:rsidRPr="00D325EE">
              <w:tab/>
              <w:t xml:space="preserve">Clarify </w:t>
            </w:r>
            <w:r w:rsidRPr="00D325EE">
              <w:rPr>
                <w:rStyle w:val="Emphasis"/>
              </w:rPr>
              <w:t>expectations of carers and families</w:t>
            </w:r>
            <w:r w:rsidRPr="00D325EE">
              <w:t xml:space="preserve"> and provide information</w:t>
            </w:r>
            <w:r w:rsidRPr="00D325EE">
              <w:t xml:space="preserve"> as required to support and manage realistic expectations</w:t>
            </w:r>
          </w:p>
        </w:tc>
      </w:tr>
      <w:tr w:rsidTr="00605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p>
        </w:tc>
      </w:tr>
      <w:tr w:rsidTr="00605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25EE">
            <w:pPr>
              <w:pStyle w:val="List"/>
              <w:rPr>
                <w:lang w:val="en-NZ"/>
              </w:rPr>
            </w:pPr>
            <w:r w:rsidRPr="00D325EE">
              <w:t>3.</w:t>
            </w:r>
            <w:r w:rsidRPr="00D325EE">
              <w:tab/>
              <w:t>Facilitate recovery of clients with appropriate involvement of carers and families</w:t>
            </w:r>
          </w:p>
        </w:tc>
        <w:tc>
          <w:tcPr>
            <w:tcW w:w="5702" w:type="dxa"/>
            <w:tcBorders>
              <w:top w:val="nil"/>
              <w:left w:val="nil"/>
              <w:bottom w:val="nil"/>
              <w:right w:val="nil"/>
            </w:tcBorders>
            <w:tcMar>
              <w:top w:w="0" w:type="dxa"/>
              <w:left w:w="62" w:type="dxa"/>
              <w:bottom w:w="0" w:type="dxa"/>
              <w:right w:w="62" w:type="dxa"/>
            </w:tcMar>
          </w:tcPr>
          <w:p w:rsidR="00000000" w:rsidRPr="00D325EE" w:rsidP="00D325EE">
            <w:pPr>
              <w:pStyle w:val="BodyText"/>
            </w:pPr>
            <w:r w:rsidRPr="00D325EE">
              <w:t>3.1</w:t>
            </w:r>
            <w:r w:rsidRPr="00D325EE">
              <w:tab/>
              <w:t>Involve carers and families in consumer recovery process with consent of consumer and in line with recov</w:t>
            </w:r>
            <w:r w:rsidRPr="00D325EE">
              <w:t>ery plan</w:t>
            </w:r>
          </w:p>
          <w:p w:rsidR="00000000" w:rsidRPr="00D325EE" w:rsidP="00D325EE">
            <w:pPr>
              <w:pStyle w:val="BodyText"/>
            </w:pPr>
            <w:r w:rsidRPr="00D325EE">
              <w:t>3.2</w:t>
            </w:r>
            <w:r w:rsidRPr="00D325EE">
              <w:tab/>
              <w:t>Monitor carer and family participation in collaboration with consumer to ensure ongoing effectiveness and consumer consent</w:t>
            </w:r>
          </w:p>
          <w:p w:rsidR="00000000" w:rsidRPr="00D325EE" w:rsidP="00D325EE">
            <w:pPr>
              <w:pStyle w:val="BodyText"/>
            </w:pPr>
            <w:r w:rsidRPr="00D325EE">
              <w:t>3.3</w:t>
            </w:r>
            <w:r w:rsidRPr="00D325EE">
              <w:tab/>
              <w:t>Maintain relationship with carers to identify changing carer needs and to identify support needs of carers within bo</w:t>
            </w:r>
            <w:r w:rsidRPr="00D325EE">
              <w:t>undaries of own work role</w:t>
            </w:r>
          </w:p>
          <w:p w:rsidR="00000000" w:rsidRPr="00D325EE" w:rsidP="00D325EE">
            <w:pPr>
              <w:pStyle w:val="BodyText"/>
            </w:pPr>
            <w:r w:rsidRPr="00D325EE">
              <w:t>3.4</w:t>
            </w:r>
            <w:r w:rsidRPr="00D325EE">
              <w:tab/>
              <w:t>Assist consumer to identify ways in which their behaviour may be positively or negatively influenced by others</w:t>
            </w:r>
          </w:p>
          <w:p w:rsidR="00000000" w:rsidRPr="00D325EE" w:rsidP="00D325EE">
            <w:pPr>
              <w:pStyle w:val="BodyText"/>
            </w:pPr>
            <w:r w:rsidRPr="00D325EE">
              <w:t>3.5</w:t>
            </w:r>
            <w:r w:rsidRPr="00D325EE">
              <w:tab/>
            </w:r>
            <w:r w:rsidRPr="00D325EE">
              <w:t>Assist consumer to identify ways in which their behaviour may be positively or negatively affecting families and carers</w:t>
            </w:r>
          </w:p>
          <w:p w:rsidR="00000000" w:rsidRPr="00D325EE" w:rsidP="00D325EE">
            <w:pPr>
              <w:pStyle w:val="BodyText"/>
            </w:pPr>
            <w:r w:rsidRPr="00D325EE">
              <w:t>3.6</w:t>
            </w:r>
            <w:r w:rsidRPr="00D325EE">
              <w:tab/>
              <w:t xml:space="preserve">Monitor any potentially negative influences on the consumer and bring these to their attention </w:t>
            </w:r>
          </w:p>
          <w:p w:rsidR="00000000" w:rsidP="00D325EE">
            <w:pPr>
              <w:pStyle w:val="BodyText"/>
              <w:rPr>
                <w:lang w:val="en-NZ"/>
              </w:rPr>
            </w:pPr>
            <w:r w:rsidRPr="00D325EE">
              <w:t>3.7</w:t>
            </w:r>
            <w:r w:rsidRPr="00D325EE">
              <w:tab/>
              <w:t>Take action as required to maint</w:t>
            </w:r>
            <w:r w:rsidRPr="00D325EE">
              <w:t>ain well being and safety of self, client and other stakeholders</w:t>
            </w:r>
          </w:p>
        </w:tc>
      </w:tr>
      <w:tr w:rsidTr="00605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325EE" w:rsidP="00D325EE">
            <w:pPr>
              <w:pStyle w:val="BodyText"/>
            </w:pPr>
          </w:p>
        </w:tc>
      </w:tr>
    </w:tbl>
    <w:p w:rsidR="00605E7A" w:rsidP="00D325EE">
      <w:pPr>
        <w:pStyle w:val="BodyText"/>
      </w:pPr>
    </w:p>
    <w:p w:rsidR="00605E7A" w:rsidP="00D325EE">
      <w:pPr>
        <w:pStyle w:val="BodyText"/>
      </w:pPr>
    </w:p>
    <w:p w:rsidR="00000000" w:rsidRPr="00D325EE" w:rsidP="00D325EE">
      <w:pPr>
        <w:pStyle w:val="Heading1"/>
      </w:pPr>
      <w:bookmarkStart w:id="9" w:name="O_257914"/>
      <w:bookmarkEnd w:id="9"/>
      <w:r w:rsidRPr="00D325EE">
        <w:t>Required Skills and Knowledge</w:t>
      </w:r>
    </w:p>
    <w:tbl>
      <w:tblPr>
        <w:tblW w:w="0" w:type="auto"/>
        <w:tblLayout w:type="fixed"/>
        <w:tblCellMar>
          <w:left w:w="62" w:type="dxa"/>
          <w:right w:w="62" w:type="dxa"/>
        </w:tblCellMar>
        <w:tblLook w:val="0000"/>
      </w:tblPr>
      <w:tblGrid>
        <w:gridCol w:w="9072"/>
      </w:tblGrid>
      <w:tr w:rsidTr="00605E7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r w:rsidRPr="00D325EE">
              <w:rPr>
                <w:rStyle w:val="SpecialBold"/>
              </w:rPr>
              <w:t>REQUIRED SKILLS AND KNOWLEDGE</w:t>
            </w:r>
          </w:p>
        </w:tc>
      </w:tr>
      <w:tr w:rsidTr="00605E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p>
        </w:tc>
      </w:tr>
      <w:tr w:rsidTr="00605E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r w:rsidRPr="00D325EE">
              <w:t>This describes the essential skills and knowledge and their level required for this unit.</w:t>
            </w:r>
          </w:p>
        </w:tc>
      </w:tr>
      <w:tr w:rsidTr="00605E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p>
        </w:tc>
      </w:tr>
      <w:tr w:rsidTr="00605E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25EE" w:rsidP="00D325EE">
            <w:pPr>
              <w:pStyle w:val="BodyText"/>
            </w:pPr>
            <w:r w:rsidRPr="00D325EE">
              <w:rPr>
                <w:rStyle w:val="Emphasis"/>
              </w:rPr>
              <w:t>Essent</w:t>
            </w:r>
            <w:r w:rsidRPr="00D325EE">
              <w:rPr>
                <w:rStyle w:val="Emphasis"/>
              </w:rPr>
              <w:t>ial knowledge</w:t>
            </w:r>
            <w:r w:rsidRPr="00D325EE">
              <w:t>:</w:t>
            </w:r>
          </w:p>
          <w:p w:rsidR="00000000" w:rsidRPr="00D325EE" w:rsidP="00D325EE">
            <w:pPr>
              <w:pStyle w:val="BodyText"/>
            </w:pPr>
            <w:r w:rsidRPr="00D325E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325EE" w:rsidP="00D325EE">
            <w:pPr>
              <w:pStyle w:val="BodyText"/>
            </w:pPr>
            <w:r w:rsidRPr="00D325EE">
              <w:t>These include knowledge of:</w:t>
            </w:r>
          </w:p>
          <w:p w:rsidR="00000000" w:rsidRPr="00D325EE" w:rsidP="00D325EE">
            <w:pPr>
              <w:pStyle w:val="ListBullet"/>
            </w:pPr>
            <w:r w:rsidRPr="00D325EE">
              <w:t>An awareness and understanding of the potential impact of own personal and social values in mental health work</w:t>
            </w:r>
          </w:p>
          <w:p w:rsidR="00000000" w:rsidRPr="00D325EE" w:rsidP="00D325EE">
            <w:pPr>
              <w:pStyle w:val="ListBullet"/>
            </w:pPr>
            <w:r w:rsidRPr="00D325EE">
              <w:t>Role boundaries in relation to own work role and roles of other workers</w:t>
            </w:r>
          </w:p>
          <w:p w:rsidR="00000000" w:rsidRPr="00D325EE" w:rsidP="00D325EE">
            <w:pPr>
              <w:pStyle w:val="ListBullet"/>
            </w:pPr>
            <w:r w:rsidRPr="00D325EE">
              <w:t>Relevant and available community and organis</w:t>
            </w:r>
            <w:r w:rsidRPr="00D325EE">
              <w:t>ation resources</w:t>
            </w:r>
          </w:p>
          <w:p w:rsidR="00000000" w:rsidRPr="00D325EE" w:rsidP="00D325EE">
            <w:pPr>
              <w:pStyle w:val="ListBullet"/>
            </w:pPr>
            <w:r w:rsidRPr="00D325EE">
              <w:t>Models and practice in rehabilitation for those with mental illness</w:t>
            </w:r>
          </w:p>
          <w:p w:rsidR="00000000" w:rsidRPr="00D325EE" w:rsidP="00D325EE">
            <w:pPr>
              <w:pStyle w:val="ListBullet"/>
            </w:pPr>
            <w:r w:rsidRPr="00D325EE">
              <w:t>Predisposing/risk and protective factors for mental illness</w:t>
            </w:r>
          </w:p>
          <w:p w:rsidR="00000000" w:rsidP="00D325EE">
            <w:pPr>
              <w:pStyle w:val="ListBullet"/>
              <w:rPr>
                <w:lang w:val="en-NZ"/>
              </w:rPr>
            </w:pPr>
            <w:r w:rsidRPr="00D325EE">
              <w:t>Knowledge of relevant legislation, policies and standards regarding consumer and carer participation in mental h</w:t>
            </w:r>
            <w:r w:rsidRPr="00D325EE">
              <w:t>ealth planning and recovery</w:t>
            </w:r>
          </w:p>
        </w:tc>
      </w:tr>
      <w:tr w:rsidTr="00605E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p>
        </w:tc>
      </w:tr>
      <w:tr w:rsidTr="00605E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25EE" w:rsidP="00D325EE">
            <w:pPr>
              <w:pStyle w:val="BodyText"/>
            </w:pPr>
            <w:r w:rsidRPr="00D325EE">
              <w:rPr>
                <w:rStyle w:val="Emphasis"/>
              </w:rPr>
              <w:t>Essential skills</w:t>
            </w:r>
            <w:r w:rsidRPr="00D325EE">
              <w:t>:</w:t>
            </w:r>
          </w:p>
          <w:p w:rsidR="00000000" w:rsidRPr="00D325EE" w:rsidP="00D325EE">
            <w:pPr>
              <w:pStyle w:val="BodyText"/>
            </w:pPr>
            <w:r w:rsidRPr="00D325EE">
              <w:t>It is critical that the candidate demonstrate the ability to:</w:t>
            </w:r>
          </w:p>
          <w:p w:rsidR="00000000" w:rsidRPr="00D325EE" w:rsidP="00D325EE">
            <w:pPr>
              <w:pStyle w:val="ListBullet"/>
            </w:pPr>
            <w:r w:rsidRPr="00D325EE">
              <w:t>Work collaboratively with consumers to identify, plan and implement family and carer participation in recovery processes as appropriate</w:t>
            </w:r>
          </w:p>
          <w:p w:rsidR="00000000" w:rsidRPr="00D325EE" w:rsidP="00D325EE">
            <w:pPr>
              <w:pStyle w:val="ListBullet"/>
            </w:pPr>
            <w:r w:rsidRPr="00D325EE">
              <w:t>Monitor effectiveness of ongoing participation of carer and family members working towards consumer recovery goals</w:t>
            </w:r>
          </w:p>
          <w:p w:rsidR="00000000" w:rsidRPr="00D325EE" w:rsidP="00D325EE">
            <w:pPr>
              <w:pStyle w:val="ListBullet"/>
            </w:pPr>
            <w:r w:rsidRPr="00D325EE">
              <w:t>Work collaboratively with consumer to review and revise consumer, carer and family member participation aspects of recovery plan</w:t>
            </w:r>
          </w:p>
          <w:p w:rsidR="00000000" w:rsidRPr="00D325EE" w:rsidP="00D325EE">
            <w:pPr>
              <w:pStyle w:val="BodyText"/>
            </w:pPr>
          </w:p>
          <w:p w:rsidR="00000000" w:rsidRPr="00D325EE" w:rsidP="00D325EE">
            <w:pPr>
              <w:pStyle w:val="BodyText"/>
            </w:pPr>
            <w:r w:rsidRPr="00D325EE">
              <w:t>In addition</w:t>
            </w:r>
            <w:r w:rsidRPr="00D325EE">
              <w:t>, the candidate must be able to effectively do the task outlined in elements and performance criteria of this unit, manage the task and manage contingencies in the context of the identified work role</w:t>
            </w:r>
          </w:p>
          <w:p w:rsidR="00000000" w:rsidRPr="00D325EE" w:rsidP="00D325EE">
            <w:pPr>
              <w:pStyle w:val="BodyText"/>
            </w:pPr>
            <w:r w:rsidRPr="00D325EE">
              <w:t>These include the ability to:</w:t>
            </w:r>
          </w:p>
          <w:p w:rsidR="00000000" w:rsidRPr="00D325EE" w:rsidP="00D325EE">
            <w:pPr>
              <w:pStyle w:val="ListBullet"/>
            </w:pPr>
            <w:r w:rsidRPr="00D325EE">
              <w:t>Demonstrate application of</w:t>
            </w:r>
            <w:r w:rsidRPr="00D325EE">
              <w:t xml:space="preserve"> skills in:</w:t>
            </w:r>
          </w:p>
          <w:p w:rsidR="00000000" w:rsidRPr="00D325EE" w:rsidP="00D325EE">
            <w:pPr>
              <w:pStyle w:val="ListBullet2"/>
            </w:pPr>
            <w:r w:rsidRPr="00D325EE">
              <w:t>describing own attitudes and values</w:t>
            </w:r>
          </w:p>
          <w:p w:rsidR="00000000" w:rsidRPr="00D325EE" w:rsidP="00D325EE">
            <w:pPr>
              <w:pStyle w:val="ListBullet2"/>
            </w:pPr>
            <w:r w:rsidRPr="00D325EE">
              <w:t xml:space="preserve">setting and maintaining appropriate role boundaries </w:t>
            </w:r>
          </w:p>
          <w:p w:rsidR="00000000" w:rsidRPr="00D325EE" w:rsidP="00D325EE">
            <w:pPr>
              <w:pStyle w:val="ListBullet2"/>
            </w:pPr>
            <w:r w:rsidRPr="00D325EE">
              <w:t>working with cultural diversity</w:t>
            </w:r>
          </w:p>
          <w:p w:rsidR="00000000" w:rsidRPr="00D325EE" w:rsidP="00D325EE">
            <w:pPr>
              <w:pStyle w:val="ListBullet"/>
            </w:pPr>
            <w:r w:rsidRPr="00D325EE">
              <w:t>Apply full range of communication techniques including:</w:t>
            </w:r>
          </w:p>
          <w:p w:rsidR="00000000" w:rsidRPr="00D325EE" w:rsidP="00D325EE">
            <w:pPr>
              <w:pStyle w:val="ListBullet2"/>
            </w:pPr>
            <w:r w:rsidRPr="00D325EE">
              <w:t>reflective listening, respectful responding, development of empat</w:t>
            </w:r>
            <w:r w:rsidRPr="00D325EE">
              <w:t>hy and rapport and other basic counselling skills</w:t>
            </w:r>
          </w:p>
          <w:p w:rsidR="00000000" w:rsidRPr="00D325EE" w:rsidP="00D325EE">
            <w:pPr>
              <w:pStyle w:val="ListBullet2"/>
            </w:pPr>
            <w:r w:rsidRPr="00D325EE">
              <w:t>facilitating conflict resolution through application of a range of strategies</w:t>
            </w:r>
          </w:p>
          <w:p w:rsidR="00000000" w:rsidRPr="00D325EE" w:rsidP="00D325EE">
            <w:pPr>
              <w:pStyle w:val="ListBullet2"/>
            </w:pPr>
            <w:r w:rsidRPr="00D325EE">
              <w:t>techniques to seek agreement between parties</w:t>
            </w:r>
          </w:p>
          <w:p w:rsidR="00000000" w:rsidRPr="00D325EE" w:rsidP="00D325EE">
            <w:pPr>
              <w:pStyle w:val="ListBullet2"/>
            </w:pPr>
            <w:r w:rsidRPr="00D325EE">
              <w:t>active listening if culturally appropriate, recognition of non-verbal triggers</w:t>
            </w:r>
          </w:p>
          <w:p w:rsidR="00000000" w:rsidRPr="00D325EE" w:rsidP="00D325EE">
            <w:pPr>
              <w:pStyle w:val="ListBullet2"/>
            </w:pPr>
            <w:r w:rsidRPr="00D325EE">
              <w:t>feed</w:t>
            </w:r>
            <w:r w:rsidRPr="00D325EE">
              <w:t>back</w:t>
            </w:r>
          </w:p>
          <w:p w:rsidR="00000000" w:rsidRPr="00D325EE" w:rsidP="00D325EE">
            <w:pPr>
              <w:pStyle w:val="ListBullet2"/>
            </w:pPr>
            <w:r w:rsidRPr="00D325EE">
              <w:t>interpretation</w:t>
            </w:r>
          </w:p>
          <w:p w:rsidR="00000000" w:rsidRPr="00D325EE" w:rsidP="00D325EE">
            <w:pPr>
              <w:pStyle w:val="ListBullet2"/>
            </w:pPr>
            <w:r w:rsidRPr="00D325EE">
              <w:t>negotiation</w:t>
            </w:r>
          </w:p>
          <w:p w:rsidR="00000000" w:rsidP="00D325EE">
            <w:pPr>
              <w:pStyle w:val="ListBullet2"/>
              <w:rPr>
                <w:lang w:val="en-NZ"/>
              </w:rPr>
            </w:pPr>
            <w:r w:rsidRPr="00D325EE">
              <w:t>establishing empathy</w:t>
            </w:r>
          </w:p>
        </w:tc>
      </w:tr>
      <w:tr w:rsidTr="00605E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25EE" w:rsidP="00D325EE">
            <w:pPr>
              <w:pStyle w:val="BodyText"/>
            </w:pPr>
          </w:p>
        </w:tc>
      </w:tr>
    </w:tbl>
    <w:p w:rsidR="00605E7A" w:rsidP="00D325EE">
      <w:pPr>
        <w:pStyle w:val="BodyText"/>
      </w:pPr>
    </w:p>
    <w:p w:rsidR="00605E7A" w:rsidP="00D325EE">
      <w:pPr>
        <w:pStyle w:val="BodyText"/>
      </w:pPr>
    </w:p>
    <w:p w:rsidR="00000000" w:rsidRPr="00D325EE" w:rsidP="00D325EE">
      <w:pPr>
        <w:pStyle w:val="Heading1"/>
      </w:pPr>
      <w:bookmarkStart w:id="10" w:name="O_241948"/>
      <w:bookmarkEnd w:id="10"/>
      <w:r w:rsidRPr="00D325EE">
        <w:t>Evidence Guide</w:t>
      </w:r>
    </w:p>
    <w:tbl>
      <w:tblPr>
        <w:tblW w:w="0" w:type="auto"/>
        <w:tblLayout w:type="fixed"/>
        <w:tblCellMar>
          <w:left w:w="62" w:type="dxa"/>
          <w:right w:w="62" w:type="dxa"/>
        </w:tblCellMar>
        <w:tblLook w:val="0000"/>
      </w:tblPr>
      <w:tblGrid>
        <w:gridCol w:w="3402"/>
        <w:gridCol w:w="5670"/>
      </w:tblGrid>
      <w:tr w:rsidTr="00605E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325EE">
            <w:pPr>
              <w:pStyle w:val="BodyText"/>
              <w:rPr>
                <w:lang w:val="en-NZ"/>
              </w:rPr>
            </w:pPr>
            <w:r w:rsidRPr="00D325EE">
              <w:rPr>
                <w:rStyle w:val="SpecialBold"/>
              </w:rPr>
              <w:t>EVIDENCE GUIDE</w:t>
            </w:r>
          </w:p>
        </w:tc>
      </w:tr>
      <w:tr w:rsidTr="00605E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25EE">
            <w:pPr>
              <w:pStyle w:val="BodyText"/>
              <w:rPr>
                <w:lang w:val="en-NZ"/>
              </w:rPr>
            </w:pPr>
          </w:p>
        </w:tc>
      </w:tr>
      <w:tr w:rsidTr="00605E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25EE">
            <w:pPr>
              <w:pStyle w:val="BodyText"/>
              <w:rPr>
                <w:lang w:val="en-NZ"/>
              </w:rPr>
            </w:pPr>
            <w:r w:rsidRPr="00D325EE">
              <w:t xml:space="preserve">The evidence guide provides advice on assessment and must be read in conjunction with the Performance Criteria, Required Skills and Knowledge, </w:t>
            </w:r>
            <w:r w:rsidRPr="00D325EE">
              <w:t>the Range Statement and the Assessment Guidelines for this Training Package.</w:t>
            </w:r>
          </w:p>
        </w:tc>
      </w:tr>
      <w:tr w:rsidTr="00605E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25EE">
            <w:pPr>
              <w:pStyle w:val="BodyText"/>
              <w:rPr>
                <w:lang w:val="en-NZ"/>
              </w:rPr>
            </w:pPr>
          </w:p>
        </w:tc>
      </w:tr>
      <w:tr w:rsidTr="0060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r w:rsidRPr="00D325EE">
              <w:rPr>
                <w:rStyle w:val="Emphasis"/>
              </w:rPr>
              <w:t>Critical aspects for assessment and evidence required to demonstrate this unit of competency</w:t>
            </w:r>
            <w:r w:rsidRPr="00D325EE">
              <w:t xml:space="preserve">: </w:t>
            </w:r>
          </w:p>
        </w:tc>
        <w:tc>
          <w:tcPr>
            <w:tcW w:w="5670" w:type="dxa"/>
            <w:tcBorders>
              <w:top w:val="nil"/>
              <w:left w:val="nil"/>
              <w:bottom w:val="nil"/>
              <w:right w:val="nil"/>
            </w:tcBorders>
            <w:tcMar>
              <w:top w:w="0" w:type="dxa"/>
              <w:left w:w="62" w:type="dxa"/>
              <w:bottom w:w="0" w:type="dxa"/>
              <w:right w:w="62" w:type="dxa"/>
            </w:tcMar>
          </w:tcPr>
          <w:p w:rsidR="00000000" w:rsidRPr="00D325EE" w:rsidP="00D325EE">
            <w:pPr>
              <w:pStyle w:val="ListBullet"/>
            </w:pPr>
            <w:r w:rsidRPr="00D325EE">
              <w:t>The individual being assessed must provide evidence of specified essential know</w:t>
            </w:r>
            <w:r w:rsidRPr="00D325EE">
              <w:t>ledge as well as skills</w:t>
            </w:r>
          </w:p>
          <w:p w:rsidR="00000000" w:rsidRPr="00D325EE" w:rsidP="00D325EE">
            <w:pPr>
              <w:pStyle w:val="ListBullet"/>
            </w:pPr>
            <w:r w:rsidRPr="00D325EE">
              <w:t xml:space="preserve">Competency must be demonstrated in a real work environment </w:t>
            </w:r>
          </w:p>
          <w:p w:rsidR="00000000" w:rsidRPr="00D325EE" w:rsidP="00D325EE">
            <w:pPr>
              <w:pStyle w:val="ListBullet"/>
            </w:pPr>
            <w:r w:rsidRPr="00D325EE">
              <w:t>Competence in this unit must be assessed over a period of time in order to ensure consistency of performance over contexts applicable to the work environment</w:t>
            </w:r>
          </w:p>
          <w:p w:rsidR="00000000" w:rsidP="00D325EE">
            <w:pPr>
              <w:pStyle w:val="ListBullet"/>
              <w:rPr>
                <w:lang w:val="en-NZ"/>
              </w:rPr>
            </w:pPr>
            <w:r w:rsidRPr="00D325EE">
              <w:t>Consistency in performance should consider the work environment, worker's role and responsibilities in the workplace</w:t>
            </w:r>
          </w:p>
        </w:tc>
      </w:tr>
      <w:tr w:rsidTr="0060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p>
        </w:tc>
      </w:tr>
      <w:tr w:rsidTr="0060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r w:rsidRPr="00D325EE">
              <w:rPr>
                <w:rStyle w:val="Emphasis"/>
              </w:rPr>
              <w:t>Access and equity considerations</w:t>
            </w:r>
            <w:r w:rsidRPr="00D325EE">
              <w:t>:</w:t>
            </w:r>
          </w:p>
        </w:tc>
        <w:tc>
          <w:tcPr>
            <w:tcW w:w="5670" w:type="dxa"/>
            <w:tcBorders>
              <w:top w:val="nil"/>
              <w:left w:val="nil"/>
              <w:bottom w:val="nil"/>
              <w:right w:val="nil"/>
            </w:tcBorders>
            <w:tcMar>
              <w:top w:w="0" w:type="dxa"/>
              <w:left w:w="62" w:type="dxa"/>
              <w:bottom w:w="0" w:type="dxa"/>
              <w:right w:w="62" w:type="dxa"/>
            </w:tcMar>
          </w:tcPr>
          <w:p w:rsidR="00000000" w:rsidRPr="00D325EE" w:rsidP="00D325EE">
            <w:pPr>
              <w:pStyle w:val="ListBullet"/>
            </w:pPr>
            <w:r w:rsidRPr="00D325EE">
              <w:t>All workers in community services should be aware of access, equity and human rights issues in relati</w:t>
            </w:r>
            <w:r w:rsidRPr="00D325EE">
              <w:t>on to their own area of work</w:t>
            </w:r>
          </w:p>
          <w:p w:rsidR="00000000" w:rsidRPr="00D325EE" w:rsidP="00D325EE">
            <w:pPr>
              <w:pStyle w:val="ListBullet"/>
            </w:pPr>
            <w:r w:rsidRPr="00D325EE">
              <w:t xml:space="preserve">All workers should develop their ability to work in a culturally diverse environment </w:t>
            </w:r>
          </w:p>
          <w:p w:rsidR="00000000" w:rsidRPr="00D325EE" w:rsidP="00D325EE">
            <w:pPr>
              <w:pStyle w:val="ListBullet"/>
            </w:pPr>
            <w:r w:rsidRPr="00D325EE">
              <w:t>In recognition of particular issues facing Aboriginal and Torres Strait Islander communities, workers should be aware of cultural, historical</w:t>
            </w:r>
            <w:r w:rsidRPr="00D325EE">
              <w:t xml:space="preserve"> and current issues impacting on Aboriginal and Torres Strait Islander people</w:t>
            </w:r>
          </w:p>
          <w:p w:rsidR="00000000" w:rsidP="00D325EE">
            <w:pPr>
              <w:pStyle w:val="ListBullet"/>
              <w:rPr>
                <w:lang w:val="en-NZ"/>
              </w:rPr>
            </w:pPr>
            <w:r w:rsidRPr="00D325EE">
              <w:t>Assessors and trainers must take into account relevant access and equity issues, in particular relating to factors impacting on Aboriginal and/or Torres Strait Islander clients a</w:t>
            </w:r>
            <w:r w:rsidRPr="00D325EE">
              <w:t>nd communities</w:t>
            </w:r>
          </w:p>
        </w:tc>
      </w:tr>
      <w:tr w:rsidTr="0060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p>
        </w:tc>
      </w:tr>
      <w:tr w:rsidTr="0060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r w:rsidRPr="00D325EE">
              <w:rPr>
                <w:rStyle w:val="Emphasis"/>
              </w:rPr>
              <w:t>Context of and specific resources for assessment</w:t>
            </w:r>
            <w:r w:rsidRPr="00D325EE">
              <w:t xml:space="preserve">: </w:t>
            </w:r>
          </w:p>
        </w:tc>
        <w:tc>
          <w:tcPr>
            <w:tcW w:w="5670" w:type="dxa"/>
            <w:tcBorders>
              <w:top w:val="nil"/>
              <w:left w:val="nil"/>
              <w:bottom w:val="nil"/>
              <w:right w:val="nil"/>
            </w:tcBorders>
            <w:tcMar>
              <w:top w:w="0" w:type="dxa"/>
              <w:left w:w="62" w:type="dxa"/>
              <w:bottom w:w="0" w:type="dxa"/>
              <w:right w:w="62" w:type="dxa"/>
            </w:tcMar>
          </w:tcPr>
          <w:p w:rsidR="00000000" w:rsidRPr="00D325EE" w:rsidP="00D325EE">
            <w:pPr>
              <w:pStyle w:val="ListBullet"/>
            </w:pPr>
            <w:r w:rsidRPr="00D325EE">
              <w:t>This unit can be assessed independently, however holistic assessment practice with other community services units of competency is encouraged</w:t>
            </w:r>
          </w:p>
          <w:p w:rsidR="00000000" w:rsidP="00D325EE">
            <w:pPr>
              <w:pStyle w:val="ListBullet"/>
              <w:rPr>
                <w:lang w:val="en-NZ"/>
              </w:rPr>
            </w:pPr>
            <w:r w:rsidRPr="00D325EE">
              <w:t>Assessment of this competency will require h</w:t>
            </w:r>
            <w:r w:rsidRPr="00D325EE">
              <w:t>uman resources consistent with those outlined in the Assessment Guidelines</w:t>
            </w:r>
          </w:p>
        </w:tc>
      </w:tr>
      <w:tr w:rsidTr="0060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p>
        </w:tc>
      </w:tr>
      <w:tr w:rsidTr="0060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r w:rsidRPr="00D325EE">
              <w:rPr>
                <w:rStyle w:val="Emphasis"/>
              </w:rPr>
              <w:t>Method of assessment</w:t>
            </w:r>
            <w:r w:rsidRPr="00D325EE">
              <w:t>:</w:t>
            </w:r>
          </w:p>
        </w:tc>
        <w:tc>
          <w:tcPr>
            <w:tcW w:w="5670" w:type="dxa"/>
            <w:tcBorders>
              <w:top w:val="nil"/>
              <w:left w:val="nil"/>
              <w:bottom w:val="nil"/>
              <w:right w:val="nil"/>
            </w:tcBorders>
            <w:tcMar>
              <w:top w:w="0" w:type="dxa"/>
              <w:left w:w="62" w:type="dxa"/>
              <w:bottom w:w="0" w:type="dxa"/>
              <w:right w:w="62" w:type="dxa"/>
            </w:tcMar>
          </w:tcPr>
          <w:p w:rsidR="00000000" w:rsidRPr="00D325EE" w:rsidP="00D325EE">
            <w:pPr>
              <w:pStyle w:val="ListBullet"/>
            </w:pPr>
            <w:r w:rsidRPr="00D325EE">
              <w:t>Competency must be demonstrated in a real work environment</w:t>
            </w:r>
          </w:p>
          <w:p w:rsidR="00000000" w:rsidRPr="00D325EE" w:rsidP="00D325EE">
            <w:pPr>
              <w:pStyle w:val="ListBullet"/>
            </w:pPr>
            <w:r w:rsidRPr="00D325EE">
              <w:t>In cases where the learner does not have the opportunity to cover all relevant aspects in the work environment, the remainder should be assessed through realistic simulations, projects, previous relevant experience or oral questioning on 'What if?' scenari</w:t>
            </w:r>
            <w:r w:rsidRPr="00D325EE">
              <w:t>os</w:t>
            </w:r>
          </w:p>
          <w:p w:rsidR="00000000" w:rsidRPr="00D325EE" w:rsidP="00D325EE">
            <w:pPr>
              <w:pStyle w:val="ListBullet"/>
            </w:pPr>
            <w:r w:rsidRPr="00D325EE">
              <w:t>Assessment of this unit of competence will usually include observation of processes and procedures, oral and/or written questioning on Essential knowledge and skills and consideration of required attitudes</w:t>
            </w:r>
          </w:p>
          <w:p w:rsidR="00000000" w:rsidP="00D325EE">
            <w:pPr>
              <w:pStyle w:val="ListBullet"/>
              <w:rPr>
                <w:lang w:val="en-NZ"/>
              </w:rPr>
            </w:pPr>
            <w:r w:rsidRPr="00D325EE">
              <w:t>Where performance is not directly observed and/</w:t>
            </w:r>
            <w:r w:rsidRPr="00D325EE">
              <w:t>or is required to be demonstrated over a 'period of time' and/or in a 'number of locations', any evidence should be authenticated by colleagues, supervisors, clients or other appropriate persons</w:t>
            </w:r>
          </w:p>
        </w:tc>
      </w:tr>
      <w:tr w:rsidTr="0060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325EE" w:rsidP="00D325EE">
            <w:pPr>
              <w:pStyle w:val="BodyText"/>
            </w:pPr>
          </w:p>
        </w:tc>
      </w:tr>
    </w:tbl>
    <w:p w:rsidR="00605E7A" w:rsidP="00D325EE">
      <w:pPr>
        <w:pStyle w:val="BodyText"/>
      </w:pPr>
    </w:p>
    <w:p w:rsidR="00605E7A" w:rsidP="00D325EE">
      <w:pPr>
        <w:pStyle w:val="BodyText"/>
      </w:pPr>
    </w:p>
    <w:p w:rsidR="00000000" w:rsidRPr="00D325EE" w:rsidP="00D325EE">
      <w:pPr>
        <w:pStyle w:val="Heading1"/>
      </w:pPr>
      <w:bookmarkStart w:id="11" w:name="O_249931"/>
      <w:bookmarkEnd w:id="11"/>
      <w:r w:rsidRPr="00D325EE">
        <w:t>Range Statement</w:t>
      </w:r>
    </w:p>
    <w:tbl>
      <w:tblPr>
        <w:tblW w:w="0" w:type="auto"/>
        <w:tblLayout w:type="fixed"/>
        <w:tblCellMar>
          <w:left w:w="62" w:type="dxa"/>
          <w:right w:w="62" w:type="dxa"/>
        </w:tblCellMar>
        <w:tblLook w:val="0000"/>
      </w:tblPr>
      <w:tblGrid>
        <w:gridCol w:w="3402"/>
        <w:gridCol w:w="5670"/>
      </w:tblGrid>
      <w:tr w:rsidTr="00605E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325EE">
            <w:pPr>
              <w:pStyle w:val="BodyText"/>
              <w:rPr>
                <w:lang w:val="en-NZ"/>
              </w:rPr>
            </w:pPr>
            <w:r w:rsidRPr="00D325EE">
              <w:rPr>
                <w:rStyle w:val="SpecialBold"/>
              </w:rPr>
              <w:t>RANGE STATEMENT</w:t>
            </w:r>
          </w:p>
        </w:tc>
      </w:tr>
      <w:tr w:rsidTr="00605E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25EE">
            <w:pPr>
              <w:pStyle w:val="BodyText"/>
              <w:rPr>
                <w:lang w:val="en-NZ"/>
              </w:rPr>
            </w:pPr>
          </w:p>
        </w:tc>
      </w:tr>
      <w:tr w:rsidTr="00605E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25EE">
            <w:pPr>
              <w:pStyle w:val="BodyText"/>
              <w:rPr>
                <w:lang w:val="en-NZ"/>
              </w:rPr>
            </w:pPr>
            <w:r w:rsidRPr="00D325EE">
              <w:t>The Range Statement relates to the unit of competency as a whole. It allows for different work environments and situations that may affect performance. Add any essential operating conditions that may be present with training and assessment depending on the</w:t>
            </w:r>
            <w:r w:rsidRPr="00D325EE">
              <w:t xml:space="preserve"> work situation, needs of the candidate, accessibility of the item, and local industry and regional contexts.</w:t>
            </w:r>
          </w:p>
        </w:tc>
      </w:tr>
      <w:tr w:rsidTr="0060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p>
        </w:tc>
      </w:tr>
      <w:tr w:rsidTr="0060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r w:rsidRPr="00D325EE">
              <w:rPr>
                <w:rStyle w:val="Emphasis"/>
              </w:rPr>
              <w:t>Carer is defined as but not limited to</w:t>
            </w:r>
            <w:r w:rsidRPr="00D325EE">
              <w:t>:</w:t>
            </w:r>
          </w:p>
        </w:tc>
        <w:tc>
          <w:tcPr>
            <w:tcW w:w="5670" w:type="dxa"/>
            <w:tcBorders>
              <w:top w:val="nil"/>
              <w:left w:val="nil"/>
              <w:bottom w:val="nil"/>
              <w:right w:val="nil"/>
            </w:tcBorders>
            <w:tcMar>
              <w:top w:w="0" w:type="dxa"/>
              <w:left w:w="62" w:type="dxa"/>
              <w:bottom w:w="0" w:type="dxa"/>
              <w:right w:w="62" w:type="dxa"/>
            </w:tcMar>
          </w:tcPr>
          <w:p w:rsidR="00000000" w:rsidRPr="00D325EE" w:rsidP="00D325EE">
            <w:pPr>
              <w:pStyle w:val="ListBullet"/>
            </w:pPr>
            <w:r w:rsidRPr="00D325EE">
              <w:t>Persons who, at time of need, provide regular or intermittent support to a person with a mental illness or disorder</w:t>
            </w:r>
          </w:p>
          <w:p w:rsidR="00000000" w:rsidRPr="00D325EE" w:rsidP="00D325EE">
            <w:pPr>
              <w:pStyle w:val="ListBullet"/>
            </w:pPr>
            <w:r w:rsidRPr="00D325EE">
              <w:t>This may include:</w:t>
            </w:r>
          </w:p>
          <w:p w:rsidR="00000000" w:rsidRPr="00D325EE" w:rsidP="00D325EE">
            <w:pPr>
              <w:pStyle w:val="ListBullet2"/>
            </w:pPr>
            <w:r w:rsidRPr="00D325EE">
              <w:t>Relative e.g. spouse/defacto, children, parents, siblings, grandparents, uncles, aunts, cousins</w:t>
            </w:r>
          </w:p>
          <w:p w:rsidR="00000000" w:rsidRPr="00D325EE" w:rsidP="00D325EE">
            <w:pPr>
              <w:pStyle w:val="ListBullet2"/>
            </w:pPr>
            <w:r w:rsidRPr="00D325EE">
              <w:t>Kinship relationship</w:t>
            </w:r>
          </w:p>
          <w:p w:rsidR="00000000" w:rsidRPr="00D325EE" w:rsidP="00D325EE">
            <w:pPr>
              <w:pStyle w:val="ListBullet2"/>
            </w:pPr>
            <w:r w:rsidRPr="00D325EE">
              <w:t>Frie</w:t>
            </w:r>
            <w:r w:rsidRPr="00D325EE">
              <w:t>nds</w:t>
            </w:r>
          </w:p>
          <w:p w:rsidR="00000000" w:rsidRPr="00D325EE" w:rsidP="00D325EE">
            <w:pPr>
              <w:pStyle w:val="ListBullet2"/>
            </w:pPr>
            <w:r w:rsidRPr="00D325EE">
              <w:t>Neighbours</w:t>
            </w:r>
          </w:p>
          <w:p w:rsidR="00000000" w:rsidP="00D325EE">
            <w:pPr>
              <w:pStyle w:val="ListBullet2"/>
              <w:rPr>
                <w:lang w:val="en-NZ"/>
              </w:rPr>
            </w:pPr>
            <w:r w:rsidRPr="00D325EE">
              <w:t>Other consumers</w:t>
            </w:r>
          </w:p>
        </w:tc>
      </w:tr>
      <w:tr w:rsidTr="0060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p>
        </w:tc>
      </w:tr>
      <w:tr w:rsidTr="0060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r w:rsidRPr="00D325EE">
              <w:rPr>
                <w:rStyle w:val="Emphasis"/>
              </w:rPr>
              <w:t>Consult with family</w:t>
            </w:r>
            <w:r w:rsidRPr="00D325EE">
              <w:t xml:space="preserve">, </w:t>
            </w:r>
            <w:r w:rsidRPr="00D325EE">
              <w:rPr>
                <w:rStyle w:val="Emphasis"/>
              </w:rPr>
              <w:t>carers and other relevant stakeholders may relate to</w:t>
            </w:r>
            <w:r w:rsidRPr="00D325EE">
              <w:t xml:space="preserve">, </w:t>
            </w:r>
            <w:r w:rsidRPr="00D325EE">
              <w:rPr>
                <w:rStyle w:val="Emphasis"/>
              </w:rPr>
              <w:t>for example</w:t>
            </w:r>
            <w:r w:rsidRPr="00D325EE">
              <w:t>:</w:t>
            </w:r>
          </w:p>
        </w:tc>
        <w:tc>
          <w:tcPr>
            <w:tcW w:w="5670" w:type="dxa"/>
            <w:tcBorders>
              <w:top w:val="nil"/>
              <w:left w:val="nil"/>
              <w:bottom w:val="nil"/>
              <w:right w:val="nil"/>
            </w:tcBorders>
            <w:tcMar>
              <w:top w:w="0" w:type="dxa"/>
              <w:left w:w="62" w:type="dxa"/>
              <w:bottom w:w="0" w:type="dxa"/>
              <w:right w:w="62" w:type="dxa"/>
            </w:tcMar>
          </w:tcPr>
          <w:p w:rsidR="00000000" w:rsidRPr="00D325EE" w:rsidP="00D325EE">
            <w:pPr>
              <w:pStyle w:val="ListBullet"/>
            </w:pPr>
            <w:r w:rsidRPr="00D325EE">
              <w:t>Obtaining background information</w:t>
            </w:r>
          </w:p>
          <w:p w:rsidR="00000000" w:rsidRPr="00D325EE" w:rsidP="00D325EE">
            <w:pPr>
              <w:pStyle w:val="ListBullet"/>
            </w:pPr>
            <w:r w:rsidRPr="00D325EE">
              <w:t>Identifying degree and type of support able to be provided</w:t>
            </w:r>
          </w:p>
          <w:p w:rsidR="00000000" w:rsidRPr="00D325EE" w:rsidP="00D325EE">
            <w:pPr>
              <w:pStyle w:val="ListBullet"/>
            </w:pPr>
            <w:r w:rsidRPr="00D325EE">
              <w:t>Ascertaining willingness and capacity to provide support</w:t>
            </w:r>
          </w:p>
          <w:p w:rsidR="00000000" w:rsidRPr="00D325EE" w:rsidP="00D325EE">
            <w:pPr>
              <w:pStyle w:val="ListBullet"/>
            </w:pPr>
            <w:r w:rsidRPr="00D325EE">
              <w:t>Forward planning</w:t>
            </w:r>
          </w:p>
          <w:p w:rsidR="00000000" w:rsidRPr="00D325EE" w:rsidP="00D325EE">
            <w:pPr>
              <w:pStyle w:val="ListBullet"/>
            </w:pPr>
            <w:r w:rsidRPr="00D325EE">
              <w:t xml:space="preserve">Review of recovery plan </w:t>
            </w:r>
          </w:p>
          <w:p w:rsidR="00000000" w:rsidP="00D325EE">
            <w:pPr>
              <w:pStyle w:val="ListBullet"/>
              <w:rPr>
                <w:lang w:val="en-NZ"/>
              </w:rPr>
            </w:pPr>
            <w:r w:rsidRPr="00D325EE">
              <w:t>Review of ongoing support needs and capacity</w:t>
            </w:r>
          </w:p>
        </w:tc>
      </w:tr>
      <w:tr w:rsidTr="0060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p>
        </w:tc>
      </w:tr>
      <w:tr w:rsidTr="0060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r w:rsidRPr="00D325EE">
              <w:rPr>
                <w:rStyle w:val="Emphasis"/>
              </w:rPr>
              <w:t>Other relevant stakeholders may include but are not limited to</w:t>
            </w:r>
            <w:r w:rsidRPr="00D325EE">
              <w:t>:</w:t>
            </w:r>
          </w:p>
        </w:tc>
        <w:tc>
          <w:tcPr>
            <w:tcW w:w="5670" w:type="dxa"/>
            <w:tcBorders>
              <w:top w:val="nil"/>
              <w:left w:val="nil"/>
              <w:bottom w:val="nil"/>
              <w:right w:val="nil"/>
            </w:tcBorders>
            <w:tcMar>
              <w:top w:w="0" w:type="dxa"/>
              <w:left w:w="62" w:type="dxa"/>
              <w:bottom w:w="0" w:type="dxa"/>
              <w:right w:w="62" w:type="dxa"/>
            </w:tcMar>
          </w:tcPr>
          <w:p w:rsidR="00000000" w:rsidRPr="00D325EE" w:rsidP="00D325EE">
            <w:pPr>
              <w:pStyle w:val="ListBullet"/>
            </w:pPr>
            <w:r w:rsidRPr="00D325EE">
              <w:t>Health or community services professionals</w:t>
            </w:r>
          </w:p>
          <w:p w:rsidR="00000000" w:rsidRPr="00D325EE" w:rsidP="00D325EE">
            <w:pPr>
              <w:pStyle w:val="ListBullet"/>
            </w:pPr>
            <w:r w:rsidRPr="00D325EE">
              <w:t>S</w:t>
            </w:r>
            <w:r w:rsidRPr="00D325EE">
              <w:t>upport workers</w:t>
            </w:r>
          </w:p>
          <w:p w:rsidR="00000000" w:rsidRPr="00D325EE" w:rsidP="00D325EE">
            <w:pPr>
              <w:pStyle w:val="ListBullet"/>
            </w:pPr>
            <w:r w:rsidRPr="00D325EE">
              <w:t>Other agency staff</w:t>
            </w:r>
          </w:p>
          <w:p w:rsidR="00000000" w:rsidRPr="00D325EE" w:rsidP="00D325EE">
            <w:pPr>
              <w:pStyle w:val="ListBullet"/>
            </w:pPr>
            <w:r w:rsidRPr="00D325EE">
              <w:t>Consumer workers</w:t>
            </w:r>
          </w:p>
          <w:p w:rsidR="00000000" w:rsidRPr="00D325EE" w:rsidP="00D325EE">
            <w:pPr>
              <w:pStyle w:val="ListBullet"/>
            </w:pPr>
            <w:r w:rsidRPr="00D325EE">
              <w:t>Other relatives and/or friends</w:t>
            </w:r>
          </w:p>
          <w:p w:rsidR="00000000" w:rsidRPr="00D325EE" w:rsidP="00D325EE">
            <w:pPr>
              <w:pStyle w:val="ListBullet"/>
            </w:pPr>
            <w:r w:rsidRPr="00D325EE">
              <w:t>Representatives from:</w:t>
            </w:r>
          </w:p>
          <w:p w:rsidR="00000000" w:rsidRPr="00D325EE" w:rsidP="00D325EE">
            <w:pPr>
              <w:pStyle w:val="ListBullet2"/>
            </w:pPr>
            <w:r w:rsidRPr="00D325EE">
              <w:t>carer groups</w:t>
            </w:r>
          </w:p>
          <w:p w:rsidR="00000000" w:rsidRPr="00D325EE" w:rsidP="00D325EE">
            <w:pPr>
              <w:pStyle w:val="ListBullet2"/>
            </w:pPr>
            <w:r w:rsidRPr="00D325EE">
              <w:t>support groups</w:t>
            </w:r>
          </w:p>
          <w:p w:rsidR="00000000" w:rsidRPr="00D325EE" w:rsidP="00D325EE">
            <w:pPr>
              <w:pStyle w:val="ListBullet2"/>
            </w:pPr>
            <w:r w:rsidRPr="00D325EE">
              <w:t>schools</w:t>
            </w:r>
          </w:p>
          <w:p w:rsidR="00000000" w:rsidP="00D325EE">
            <w:pPr>
              <w:pStyle w:val="ListBullet2"/>
              <w:rPr>
                <w:lang w:val="en-NZ"/>
              </w:rPr>
            </w:pPr>
            <w:r w:rsidRPr="00D325EE">
              <w:t>community or clinical mental health services</w:t>
            </w:r>
          </w:p>
        </w:tc>
      </w:tr>
      <w:tr w:rsidTr="0060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p>
        </w:tc>
      </w:tr>
      <w:tr w:rsidTr="0060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r w:rsidRPr="00D325EE">
              <w:rPr>
                <w:rStyle w:val="Emphasis"/>
              </w:rPr>
              <w:t>Consent may be</w:t>
            </w:r>
            <w:r w:rsidRPr="00D325EE">
              <w:t>:</w:t>
            </w:r>
          </w:p>
        </w:tc>
        <w:tc>
          <w:tcPr>
            <w:tcW w:w="5670" w:type="dxa"/>
            <w:tcBorders>
              <w:top w:val="nil"/>
              <w:left w:val="nil"/>
              <w:bottom w:val="nil"/>
              <w:right w:val="nil"/>
            </w:tcBorders>
            <w:tcMar>
              <w:top w:w="0" w:type="dxa"/>
              <w:left w:w="62" w:type="dxa"/>
              <w:bottom w:w="0" w:type="dxa"/>
              <w:right w:w="62" w:type="dxa"/>
            </w:tcMar>
          </w:tcPr>
          <w:p w:rsidR="00000000" w:rsidRPr="00D325EE" w:rsidP="00D325EE">
            <w:pPr>
              <w:pStyle w:val="ListBullet"/>
            </w:pPr>
            <w:r w:rsidRPr="00D325EE">
              <w:t>Written</w:t>
            </w:r>
          </w:p>
          <w:p w:rsidR="00000000" w:rsidRPr="00D325EE" w:rsidP="00D325EE">
            <w:pPr>
              <w:pStyle w:val="ListBullet"/>
            </w:pPr>
            <w:r w:rsidRPr="00D325EE">
              <w:t>Verbal (documented)</w:t>
            </w:r>
          </w:p>
          <w:p w:rsidR="00000000" w:rsidRPr="00D325EE" w:rsidP="00D325EE">
            <w:pPr>
              <w:pStyle w:val="ListBullet"/>
            </w:pPr>
            <w:r w:rsidRPr="00D325EE">
              <w:t>Subject to legislative requirements</w:t>
            </w:r>
          </w:p>
          <w:p w:rsidR="00000000" w:rsidP="00D325EE">
            <w:pPr>
              <w:pStyle w:val="ListBullet"/>
              <w:rPr>
                <w:lang w:val="en-NZ"/>
              </w:rPr>
            </w:pPr>
            <w:r w:rsidRPr="00D325EE">
              <w:t>Advance directive</w:t>
            </w:r>
          </w:p>
        </w:tc>
      </w:tr>
      <w:tr w:rsidTr="0060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p>
        </w:tc>
      </w:tr>
      <w:tr w:rsidTr="0060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5EE">
            <w:pPr>
              <w:pStyle w:val="BodyText"/>
              <w:rPr>
                <w:lang w:val="en-NZ"/>
              </w:rPr>
            </w:pPr>
            <w:r w:rsidRPr="00D325EE">
              <w:rPr>
                <w:rStyle w:val="Emphasis"/>
              </w:rPr>
              <w:t>Expectations of carers and families may relate</w:t>
            </w:r>
            <w:r w:rsidRPr="00D325EE">
              <w:t xml:space="preserve">, </w:t>
            </w:r>
            <w:r w:rsidRPr="00D325EE">
              <w:rPr>
                <w:rStyle w:val="Emphasis"/>
              </w:rPr>
              <w:t>for example</w:t>
            </w:r>
            <w:r w:rsidRPr="00D325EE">
              <w:t xml:space="preserve">, </w:t>
            </w:r>
            <w:r w:rsidRPr="00D325EE">
              <w:rPr>
                <w:rStyle w:val="Emphasis"/>
              </w:rPr>
              <w:t>to</w:t>
            </w:r>
            <w:r w:rsidRPr="00D325EE">
              <w:t>:</w:t>
            </w:r>
          </w:p>
        </w:tc>
        <w:tc>
          <w:tcPr>
            <w:tcW w:w="5670" w:type="dxa"/>
            <w:tcBorders>
              <w:top w:val="nil"/>
              <w:left w:val="nil"/>
              <w:bottom w:val="nil"/>
              <w:right w:val="nil"/>
            </w:tcBorders>
            <w:tcMar>
              <w:top w:w="0" w:type="dxa"/>
              <w:left w:w="62" w:type="dxa"/>
              <w:bottom w:w="0" w:type="dxa"/>
              <w:right w:w="62" w:type="dxa"/>
            </w:tcMar>
          </w:tcPr>
          <w:p w:rsidR="00000000" w:rsidRPr="00D325EE" w:rsidP="00D325EE">
            <w:pPr>
              <w:pStyle w:val="ListBullet"/>
            </w:pPr>
            <w:r w:rsidRPr="00D325EE">
              <w:t>Support requirements</w:t>
            </w:r>
          </w:p>
          <w:p w:rsidR="00000000" w:rsidRPr="00D325EE" w:rsidP="00D325EE">
            <w:pPr>
              <w:pStyle w:val="ListBullet"/>
            </w:pPr>
            <w:r w:rsidRPr="00D325EE">
              <w:t>Carer's capacity to provide support</w:t>
            </w:r>
          </w:p>
          <w:p w:rsidR="00000000" w:rsidRPr="00D325EE" w:rsidP="00D325EE">
            <w:pPr>
              <w:pStyle w:val="ListBullet"/>
            </w:pPr>
            <w:r w:rsidRPr="00D325EE">
              <w:t>Aspects of the recovery process</w:t>
            </w:r>
          </w:p>
          <w:p w:rsidR="00000000" w:rsidP="00D325EE">
            <w:pPr>
              <w:pStyle w:val="ListBullet"/>
              <w:rPr>
                <w:lang w:val="en-NZ"/>
              </w:rPr>
            </w:pPr>
            <w:r w:rsidRPr="00D325EE">
              <w:t>Role of the support worker</w:t>
            </w:r>
          </w:p>
        </w:tc>
      </w:tr>
      <w:tr w:rsidTr="0060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325EE" w:rsidP="00D325EE">
            <w:pPr>
              <w:pStyle w:val="BodyText"/>
            </w:pPr>
          </w:p>
        </w:tc>
      </w:tr>
    </w:tbl>
    <w:p w:rsidR="00605E7A" w:rsidP="00D325EE">
      <w:pPr>
        <w:pStyle w:val="BodyText"/>
      </w:pPr>
    </w:p>
    <w:p w:rsidR="00605E7A" w:rsidP="00D325EE">
      <w:pPr>
        <w:pStyle w:val="BodyText"/>
      </w:pPr>
    </w:p>
    <w:p w:rsidR="00000000" w:rsidRPr="00D325EE" w:rsidP="00D325EE">
      <w:pPr>
        <w:pStyle w:val="Heading1"/>
      </w:pPr>
      <w:bookmarkStart w:id="12" w:name="O_294236"/>
      <w:bookmarkEnd w:id="12"/>
      <w:r w:rsidRPr="00D325EE">
        <w:t>Unit Sector(s)</w:t>
      </w:r>
    </w:p>
    <w:p w:rsidR="00000000" w:rsidRPr="00D325EE" w:rsidP="00D325EE">
      <w:pPr>
        <w:pStyle w:val="BodyText"/>
      </w:pPr>
      <w:r w:rsidRPr="00D325EE">
        <w:t>Not Applicable</w:t>
      </w:r>
    </w:p>
    <w:p w:rsidR="00000000" w:rsidRPr="00D325EE" w:rsidP="00D325EE"/>
    <w:sectPr w:rsidSect="00D325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5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5E7A" w:rsidP="00605E7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5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E7A" w:rsidP="00D325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05E7A" w:rsidP="00D325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05E7A" w:rsidP="00D325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5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5EE" w:rsidRPr="00605E7A" w:rsidP="00605E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5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E7A" w:rsidRPr="002D2AF8" w:rsidP="00D325EE">
    <w:pPr>
      <w:pStyle w:val="Header"/>
      <w:framePr w:wrap="around"/>
    </w:pPr>
    <w:r>
      <w:fldChar w:fldCharType="begin"/>
    </w:r>
    <w:r>
      <w:instrText xml:space="preserve"> TITLE   \* MERGEFORMAT </w:instrText>
    </w:r>
    <w:r>
      <w:fldChar w:fldCharType="separate"/>
    </w:r>
    <w:r>
      <w:t>CHCMH409A Facilitate consumer, family and carer participation in the recovery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05E7A" w:rsidP="00D325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C4BF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962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801E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5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5EE"/>
    <w:pPr>
      <w:spacing w:before="360" w:after="60"/>
      <w:outlineLvl w:val="0"/>
    </w:pPr>
    <w:rPr>
      <w:sz w:val="32"/>
    </w:rPr>
  </w:style>
  <w:style w:type="paragraph" w:styleId="Heading2">
    <w:name w:val="heading 2"/>
    <w:basedOn w:val="HeadingBase"/>
    <w:next w:val="BodyText"/>
    <w:link w:val="Heading2Char"/>
    <w:qFormat/>
    <w:rsid w:val="00D325EE"/>
    <w:pPr>
      <w:keepLines/>
      <w:spacing w:before="240" w:after="120"/>
      <w:outlineLvl w:val="1"/>
    </w:pPr>
    <w:rPr>
      <w:sz w:val="28"/>
      <w:szCs w:val="40"/>
    </w:rPr>
  </w:style>
  <w:style w:type="paragraph" w:styleId="Heading3">
    <w:name w:val="heading 3"/>
    <w:basedOn w:val="HeadingBase"/>
    <w:next w:val="BodyText"/>
    <w:link w:val="Heading3Char"/>
    <w:qFormat/>
    <w:rsid w:val="00D325EE"/>
    <w:pPr>
      <w:spacing w:before="180" w:after="120"/>
      <w:outlineLvl w:val="2"/>
    </w:pPr>
    <w:rPr>
      <w:spacing w:val="-10"/>
      <w:kern w:val="32"/>
    </w:rPr>
  </w:style>
  <w:style w:type="paragraph" w:styleId="Heading4">
    <w:name w:val="heading 4"/>
    <w:basedOn w:val="HeadingBase"/>
    <w:next w:val="BodyText"/>
    <w:link w:val="Heading4Char"/>
    <w:qFormat/>
    <w:rsid w:val="00D325EE"/>
    <w:pPr>
      <w:spacing w:before="160" w:after="120"/>
      <w:outlineLvl w:val="3"/>
    </w:pPr>
    <w:rPr>
      <w:sz w:val="22"/>
    </w:rPr>
  </w:style>
  <w:style w:type="paragraph" w:styleId="Heading5">
    <w:name w:val="heading 5"/>
    <w:basedOn w:val="HeadingBase"/>
    <w:next w:val="Normal"/>
    <w:link w:val="Heading5Char"/>
    <w:qFormat/>
    <w:rsid w:val="00D325EE"/>
    <w:pPr>
      <w:spacing w:before="80"/>
      <w:outlineLvl w:val="4"/>
    </w:pPr>
    <w:rPr>
      <w:color w:val="918585"/>
      <w:sz w:val="20"/>
    </w:rPr>
  </w:style>
  <w:style w:type="paragraph" w:styleId="Heading6">
    <w:name w:val="heading 6"/>
    <w:basedOn w:val="HeadingBase"/>
    <w:next w:val="Normal"/>
    <w:link w:val="Heading6Char"/>
    <w:qFormat/>
    <w:rsid w:val="00D325EE"/>
    <w:pPr>
      <w:spacing w:before="60"/>
      <w:outlineLvl w:val="5"/>
    </w:pPr>
    <w:rPr>
      <w:color w:val="918585"/>
      <w:sz w:val="20"/>
    </w:rPr>
  </w:style>
  <w:style w:type="paragraph" w:styleId="Heading7">
    <w:name w:val="heading 7"/>
    <w:basedOn w:val="Normal"/>
    <w:next w:val="Normal"/>
    <w:link w:val="Heading7Char"/>
    <w:qFormat/>
    <w:rsid w:val="00D325EE"/>
    <w:pPr>
      <w:ind w:left="720"/>
      <w:outlineLvl w:val="6"/>
    </w:pPr>
    <w:rPr>
      <w:i/>
    </w:rPr>
  </w:style>
  <w:style w:type="paragraph" w:styleId="Heading8">
    <w:name w:val="heading 8"/>
    <w:basedOn w:val="Normal"/>
    <w:next w:val="Normal"/>
    <w:link w:val="Heading8Char"/>
    <w:qFormat/>
    <w:rsid w:val="00D325EE"/>
    <w:pPr>
      <w:ind w:left="720"/>
      <w:outlineLvl w:val="7"/>
    </w:pPr>
    <w:rPr>
      <w:i/>
    </w:rPr>
  </w:style>
  <w:style w:type="paragraph" w:styleId="Heading9">
    <w:name w:val="heading 9"/>
    <w:basedOn w:val="Normal"/>
    <w:next w:val="Normal"/>
    <w:link w:val="Heading9Char"/>
    <w:qFormat/>
    <w:rsid w:val="00D325EE"/>
    <w:pPr>
      <w:ind w:left="720"/>
      <w:outlineLvl w:val="8"/>
    </w:pPr>
    <w:rPr>
      <w:i/>
    </w:rPr>
  </w:style>
  <w:style w:type="character" w:default="1" w:styleId="DefaultParagraphFont">
    <w:name w:val="Default Paragraph Font"/>
    <w:uiPriority w:val="1"/>
    <w:unhideWhenUsed/>
    <w:rsid w:val="00D325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5EE"/>
  </w:style>
  <w:style w:type="character" w:customStyle="1" w:styleId="Heading1Char">
    <w:name w:val="Heading 1 Char"/>
    <w:basedOn w:val="DefaultParagraphFont"/>
    <w:link w:val="Heading1"/>
    <w:rsid w:val="00D325EE"/>
    <w:rPr>
      <w:rFonts w:ascii="Times New Roman" w:eastAsia="Times New Roman" w:hAnsi="Times New Roman" w:cs="Times New Roman"/>
      <w:b/>
      <w:sz w:val="32"/>
      <w:szCs w:val="20"/>
      <w:lang w:eastAsia="en-US"/>
    </w:rPr>
  </w:style>
  <w:style w:type="paragraph" w:styleId="BodyText">
    <w:name w:val="Body Text"/>
    <w:basedOn w:val="Normal"/>
    <w:link w:val="BodyTextChar"/>
    <w:rsid w:val="00D325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25EE"/>
    <w:rPr>
      <w:rFonts w:ascii="Times New Roman" w:eastAsia="Times New Roman" w:hAnsi="Times New Roman" w:cs="Times New Roman"/>
      <w:sz w:val="24"/>
      <w:lang w:eastAsia="en-US"/>
    </w:rPr>
  </w:style>
  <w:style w:type="paragraph" w:styleId="Footer">
    <w:name w:val="footer"/>
    <w:basedOn w:val="Normal"/>
    <w:link w:val="FooterChar"/>
    <w:rsid w:val="00D325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5EE"/>
    <w:rPr>
      <w:rFonts w:ascii="Times New Roman" w:eastAsia="Times New Roman" w:hAnsi="Times New Roman" w:cs="Times New Roman"/>
      <w:sz w:val="16"/>
      <w:lang w:eastAsia="en-US"/>
    </w:rPr>
  </w:style>
  <w:style w:type="paragraph" w:styleId="List">
    <w:name w:val="List"/>
    <w:basedOn w:val="BodyText"/>
    <w:next w:val="BodyText"/>
    <w:rsid w:val="00D325EE"/>
    <w:pPr>
      <w:tabs>
        <w:tab w:val="left" w:pos="340"/>
      </w:tabs>
      <w:spacing w:before="60" w:after="60"/>
      <w:ind w:left="340" w:hanging="340"/>
    </w:pPr>
  </w:style>
  <w:style w:type="paragraph" w:styleId="ListBullet">
    <w:name w:val="List Bullet"/>
    <w:basedOn w:val="List"/>
    <w:rsid w:val="00D325EE"/>
    <w:pPr>
      <w:numPr>
        <w:numId w:val="13"/>
      </w:numPr>
      <w:tabs>
        <w:tab w:val="clear" w:pos="340"/>
      </w:tabs>
      <w:spacing w:before="40" w:after="40"/>
    </w:pPr>
  </w:style>
  <w:style w:type="character" w:customStyle="1" w:styleId="SpecialBold">
    <w:name w:val="Special Bold"/>
    <w:basedOn w:val="DefaultParagraphFont"/>
    <w:rsid w:val="00D325EE"/>
    <w:rPr>
      <w:b/>
      <w:spacing w:val="0"/>
    </w:rPr>
  </w:style>
  <w:style w:type="paragraph" w:styleId="ListBullet2">
    <w:name w:val="List Bullet 2"/>
    <w:basedOn w:val="List2"/>
    <w:rsid w:val="00D325EE"/>
    <w:pPr>
      <w:numPr>
        <w:numId w:val="14"/>
      </w:numPr>
      <w:tabs>
        <w:tab w:val="clear" w:pos="680"/>
      </w:tabs>
    </w:pPr>
  </w:style>
  <w:style w:type="character" w:styleId="Emphasis">
    <w:name w:val="Emphasis"/>
    <w:basedOn w:val="DefaultParagraphFont"/>
    <w:qFormat/>
    <w:rsid w:val="00D325EE"/>
    <w:rPr>
      <w:i/>
    </w:rPr>
  </w:style>
  <w:style w:type="paragraph" w:customStyle="1" w:styleId="SuperHeading">
    <w:name w:val="SuperHeading"/>
    <w:basedOn w:val="Normal"/>
    <w:rsid w:val="00D325EE"/>
    <w:pPr>
      <w:spacing w:before="240" w:after="120"/>
      <w:outlineLvl w:val="0"/>
    </w:pPr>
    <w:rPr>
      <w:rFonts w:ascii="Times New Roman" w:hAnsi="Times New Roman"/>
      <w:b/>
      <w:sz w:val="28"/>
    </w:rPr>
  </w:style>
  <w:style w:type="paragraph" w:customStyle="1" w:styleId="AllowPageBreak">
    <w:name w:val="AllowPageBreak"/>
    <w:rsid w:val="00D325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25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5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5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5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5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5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5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5EE"/>
    <w:rPr>
      <w:rFonts w:ascii="Courier New" w:eastAsia="Times New Roman" w:hAnsi="Courier New" w:cs="Times New Roman"/>
      <w:i/>
      <w:szCs w:val="20"/>
      <w:lang w:eastAsia="en-US"/>
    </w:rPr>
  </w:style>
  <w:style w:type="paragraph" w:customStyle="1" w:styleId="HeadingBase">
    <w:name w:val="Heading Base"/>
    <w:rsid w:val="00D325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5EE"/>
    <w:pPr>
      <w:tabs>
        <w:tab w:val="right" w:leader="dot" w:pos="9072"/>
      </w:tabs>
      <w:ind w:left="567"/>
    </w:pPr>
    <w:rPr>
      <w:szCs w:val="22"/>
    </w:rPr>
  </w:style>
  <w:style w:type="paragraph" w:customStyle="1" w:styleId="TOCBase">
    <w:name w:val="TOC Base"/>
    <w:rsid w:val="00D325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5EE"/>
    <w:pPr>
      <w:tabs>
        <w:tab w:val="right" w:leader="dot" w:pos="9072"/>
      </w:tabs>
      <w:spacing w:before="40" w:after="40"/>
      <w:ind w:left="284"/>
    </w:pPr>
    <w:rPr>
      <w:rFonts w:ascii="Times New Roman" w:hAnsi="Times New Roman"/>
    </w:rPr>
  </w:style>
  <w:style w:type="paragraph" w:styleId="TOC1">
    <w:name w:val="toc 1"/>
    <w:basedOn w:val="TOCBase"/>
    <w:next w:val="Normal"/>
    <w:rsid w:val="00D325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25EE"/>
    <w:pPr>
      <w:spacing w:before="5040"/>
      <w:jc w:val="center"/>
    </w:pPr>
    <w:rPr>
      <w:sz w:val="48"/>
      <w:szCs w:val="72"/>
      <w:lang w:val="en-US"/>
    </w:rPr>
  </w:style>
  <w:style w:type="character" w:customStyle="1" w:styleId="TitleChar">
    <w:name w:val="Title Char"/>
    <w:basedOn w:val="DefaultParagraphFont"/>
    <w:link w:val="Title"/>
    <w:rsid w:val="00D325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5EE"/>
    <w:pPr>
      <w:tabs>
        <w:tab w:val="left" w:pos="3600"/>
        <w:tab w:val="left" w:pos="3958"/>
      </w:tabs>
    </w:pPr>
  </w:style>
  <w:style w:type="paragraph" w:customStyle="1" w:styleId="Note">
    <w:name w:val="Note"/>
    <w:basedOn w:val="BodyText"/>
    <w:rsid w:val="00D325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5EE"/>
    <w:pPr>
      <w:framePr w:wrap="auto" w:hAnchor="text" w:y="6049"/>
    </w:pPr>
    <w:rPr>
      <w:color w:val="000000"/>
      <w:sz w:val="40"/>
    </w:rPr>
  </w:style>
  <w:style w:type="paragraph" w:customStyle="1" w:styleId="TOCTitle">
    <w:name w:val="TOCTitle"/>
    <w:basedOn w:val="Heading1"/>
    <w:rsid w:val="00D325EE"/>
    <w:pPr>
      <w:spacing w:after="240"/>
      <w:jc w:val="center"/>
      <w:outlineLvl w:val="9"/>
    </w:pPr>
    <w:rPr>
      <w:caps/>
    </w:rPr>
  </w:style>
  <w:style w:type="paragraph" w:customStyle="1" w:styleId="Version">
    <w:name w:val="Version"/>
    <w:rsid w:val="00D325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5EE"/>
    <w:pPr>
      <w:keepNext w:val="0"/>
      <w:tabs>
        <w:tab w:val="right" w:pos="4176"/>
      </w:tabs>
      <w:ind w:left="198" w:hanging="198"/>
    </w:pPr>
    <w:rPr>
      <w:rFonts w:ascii="Garamond" w:hAnsi="Garamond"/>
    </w:rPr>
  </w:style>
  <w:style w:type="paragraph" w:styleId="IndexHeading">
    <w:name w:val="index heading"/>
    <w:basedOn w:val="Normal"/>
    <w:next w:val="Index1"/>
    <w:semiHidden/>
    <w:rsid w:val="00D325EE"/>
    <w:pPr>
      <w:spacing w:before="120" w:after="120"/>
    </w:pPr>
    <w:rPr>
      <w:rFonts w:ascii="Arial" w:hAnsi="Arial"/>
      <w:b/>
      <w:color w:val="918585"/>
      <w:sz w:val="24"/>
    </w:rPr>
  </w:style>
  <w:style w:type="paragraph" w:styleId="Header">
    <w:name w:val="header"/>
    <w:basedOn w:val="Normal"/>
    <w:link w:val="HeaderChar"/>
    <w:rsid w:val="00D325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5EE"/>
    <w:rPr>
      <w:rFonts w:ascii="Times New Roman" w:eastAsia="Times New Roman" w:hAnsi="Times New Roman" w:cs="Times New Roman"/>
      <w:sz w:val="16"/>
      <w:szCs w:val="20"/>
      <w:lang w:val="en-GB" w:eastAsia="en-US"/>
    </w:rPr>
  </w:style>
  <w:style w:type="paragraph" w:customStyle="1" w:styleId="Chapter">
    <w:name w:val="Chapter"/>
    <w:basedOn w:val="Normal"/>
    <w:rsid w:val="00D325EE"/>
    <w:pPr>
      <w:spacing w:before="240"/>
    </w:pPr>
    <w:rPr>
      <w:rFonts w:ascii="Times New Roman" w:hAnsi="Times New Roman"/>
      <w:smallCaps/>
      <w:spacing w:val="80"/>
      <w:sz w:val="28"/>
    </w:rPr>
  </w:style>
  <w:style w:type="paragraph" w:customStyle="1" w:styleId="InChapter">
    <w:name w:val="InChapter"/>
    <w:basedOn w:val="Heading3"/>
    <w:rsid w:val="00D325EE"/>
    <w:pPr>
      <w:spacing w:after="240"/>
      <w:outlineLvl w:val="9"/>
    </w:pPr>
    <w:rPr>
      <w:noProof/>
    </w:rPr>
  </w:style>
  <w:style w:type="paragraph" w:styleId="Index2">
    <w:name w:val="index 2"/>
    <w:basedOn w:val="Normal"/>
    <w:next w:val="Normal"/>
    <w:semiHidden/>
    <w:rsid w:val="00D325EE"/>
    <w:pPr>
      <w:tabs>
        <w:tab w:val="right" w:pos="4176"/>
      </w:tabs>
      <w:ind w:left="568" w:hanging="284"/>
    </w:pPr>
    <w:rPr>
      <w:rFonts w:ascii="Garamond" w:hAnsi="Garamond"/>
    </w:rPr>
  </w:style>
  <w:style w:type="paragraph" w:customStyle="1" w:styleId="Byline">
    <w:name w:val="Byline"/>
    <w:rsid w:val="00D325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5EE"/>
    <w:pPr>
      <w:tabs>
        <w:tab w:val="clear" w:pos="3600"/>
        <w:tab w:val="clear" w:pos="3958"/>
      </w:tabs>
      <w:jc w:val="right"/>
    </w:pPr>
  </w:style>
  <w:style w:type="paragraph" w:styleId="Caption">
    <w:name w:val="caption"/>
    <w:basedOn w:val="BodyText"/>
    <w:next w:val="Normal"/>
    <w:qFormat/>
    <w:rsid w:val="00D325EE"/>
    <w:pPr>
      <w:framePr w:w="2268" w:hSpace="181" w:vSpace="181" w:wrap="around" w:vAnchor="text" w:hAnchor="page" w:x="1135" w:y="285" w:anchorLock="1"/>
    </w:pPr>
    <w:rPr>
      <w:i/>
    </w:rPr>
  </w:style>
  <w:style w:type="paragraph" w:customStyle="1" w:styleId="MiniTOCTitle">
    <w:name w:val="MiniTOCTitle"/>
    <w:basedOn w:val="Heading4"/>
    <w:rsid w:val="00D325EE"/>
    <w:pPr>
      <w:spacing w:before="240"/>
      <w:outlineLvl w:val="9"/>
    </w:pPr>
    <w:rPr>
      <w:noProof/>
      <w:sz w:val="24"/>
    </w:rPr>
  </w:style>
  <w:style w:type="paragraph" w:customStyle="1" w:styleId="MiniTOCItem">
    <w:name w:val="MiniTOCItem"/>
    <w:basedOn w:val="ListBullet"/>
    <w:rsid w:val="00D325EE"/>
    <w:pPr>
      <w:numPr>
        <w:numId w:val="0"/>
      </w:numPr>
      <w:tabs>
        <w:tab w:val="right" w:leader="dot" w:pos="6521"/>
      </w:tabs>
      <w:spacing w:before="0" w:after="0"/>
    </w:pPr>
  </w:style>
  <w:style w:type="paragraph" w:customStyle="1" w:styleId="TOFTitle">
    <w:name w:val="TOFTitle"/>
    <w:basedOn w:val="TOCTitle"/>
    <w:rsid w:val="00D325EE"/>
  </w:style>
  <w:style w:type="paragraph" w:styleId="TableofFigures">
    <w:name w:val="table of figures"/>
    <w:basedOn w:val="Normal"/>
    <w:next w:val="Normal"/>
    <w:semiHidden/>
    <w:rsid w:val="00D325EE"/>
    <w:pPr>
      <w:tabs>
        <w:tab w:val="right" w:leader="dot" w:pos="9072"/>
      </w:tabs>
      <w:ind w:left="970" w:hanging="403"/>
    </w:pPr>
    <w:rPr>
      <w:rFonts w:ascii="Times New Roman" w:hAnsi="Times New Roman"/>
      <w:b/>
    </w:rPr>
  </w:style>
  <w:style w:type="paragraph" w:styleId="ListNumber">
    <w:name w:val="List Number"/>
    <w:basedOn w:val="List"/>
    <w:rsid w:val="00D325EE"/>
    <w:pPr>
      <w:numPr>
        <w:numId w:val="11"/>
      </w:numPr>
    </w:pPr>
  </w:style>
  <w:style w:type="character" w:customStyle="1" w:styleId="WingdingSymbols">
    <w:name w:val="Wingding Symbols"/>
    <w:rsid w:val="00D325EE"/>
    <w:rPr>
      <w:rFonts w:ascii="Wingdings" w:hAnsi="Wingdings"/>
    </w:rPr>
  </w:style>
  <w:style w:type="paragraph" w:customStyle="1" w:styleId="TableHeading">
    <w:name w:val="Table Heading"/>
    <w:basedOn w:val="HeadingBase"/>
    <w:rsid w:val="00D325EE"/>
    <w:pPr>
      <w:keepLines/>
      <w:pBdr>
        <w:bottom w:val="single" w:sz="6" w:space="1" w:color="918585"/>
      </w:pBdr>
      <w:spacing w:before="240"/>
    </w:pPr>
  </w:style>
  <w:style w:type="character" w:customStyle="1" w:styleId="HotSpot">
    <w:name w:val="HotSpot"/>
    <w:rsid w:val="00D325EE"/>
    <w:rPr>
      <w:color w:val="0033CC"/>
      <w:u w:val="none"/>
    </w:rPr>
  </w:style>
  <w:style w:type="paragraph" w:customStyle="1" w:styleId="BodyTextRight">
    <w:name w:val="Body Text Right"/>
    <w:basedOn w:val="BodyText"/>
    <w:rsid w:val="00D325EE"/>
    <w:pPr>
      <w:spacing w:before="0" w:after="0"/>
      <w:jc w:val="right"/>
    </w:pPr>
  </w:style>
  <w:style w:type="paragraph" w:styleId="Index3">
    <w:name w:val="index 3"/>
    <w:basedOn w:val="ListNumber2"/>
    <w:next w:val="Normal"/>
    <w:semiHidden/>
    <w:rsid w:val="00D325EE"/>
    <w:pPr>
      <w:numPr>
        <w:numId w:val="0"/>
      </w:numPr>
      <w:tabs>
        <w:tab w:val="right" w:leader="dot" w:pos="4176"/>
      </w:tabs>
    </w:pPr>
  </w:style>
  <w:style w:type="paragraph" w:styleId="ListNumber2">
    <w:name w:val="List Number 2"/>
    <w:basedOn w:val="List2"/>
    <w:rsid w:val="00D325EE"/>
    <w:pPr>
      <w:numPr>
        <w:numId w:val="10"/>
      </w:numPr>
      <w:tabs>
        <w:tab w:val="clear" w:pos="1060"/>
      </w:tabs>
    </w:pPr>
  </w:style>
  <w:style w:type="paragraph" w:customStyle="1" w:styleId="MarginNote">
    <w:name w:val="Margin Note"/>
    <w:basedOn w:val="BodyText"/>
    <w:rsid w:val="00D325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5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5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5EE"/>
    <w:rPr>
      <w:sz w:val="32"/>
    </w:rPr>
  </w:style>
  <w:style w:type="paragraph" w:customStyle="1" w:styleId="HeadingProcedure">
    <w:name w:val="Heading Procedure"/>
    <w:basedOn w:val="HeadingBase"/>
    <w:next w:val="Normal"/>
    <w:rsid w:val="00D325EE"/>
    <w:pPr>
      <w:tabs>
        <w:tab w:val="left" w:pos="0"/>
      </w:tabs>
      <w:spacing w:before="120" w:after="60"/>
    </w:pPr>
    <w:rPr>
      <w:i/>
      <w:color w:val="918585"/>
      <w:sz w:val="22"/>
    </w:rPr>
  </w:style>
  <w:style w:type="paragraph" w:customStyle="1" w:styleId="TableBodyText">
    <w:name w:val="Table Body Text"/>
    <w:basedOn w:val="BodyText"/>
    <w:rsid w:val="00D325EE"/>
    <w:pPr>
      <w:spacing w:before="60" w:after="60"/>
    </w:pPr>
  </w:style>
  <w:style w:type="paragraph" w:styleId="ListContinue">
    <w:name w:val="List Continue"/>
    <w:basedOn w:val="List"/>
    <w:rsid w:val="00D325EE"/>
    <w:pPr>
      <w:ind w:firstLine="0"/>
    </w:pPr>
  </w:style>
  <w:style w:type="paragraph" w:customStyle="1" w:styleId="ListNote">
    <w:name w:val="List Note"/>
    <w:basedOn w:val="List"/>
    <w:rsid w:val="00D325EE"/>
    <w:pPr>
      <w:pBdr>
        <w:top w:val="single" w:sz="6" w:space="2" w:color="918585"/>
        <w:bottom w:val="single" w:sz="6" w:space="2" w:color="918585"/>
      </w:pBdr>
      <w:tabs>
        <w:tab w:val="left" w:pos="1021"/>
      </w:tabs>
      <w:ind w:firstLine="0"/>
    </w:pPr>
  </w:style>
  <w:style w:type="paragraph" w:customStyle="1" w:styleId="Warning">
    <w:name w:val="Warning"/>
    <w:basedOn w:val="BodyText"/>
    <w:rsid w:val="00D325EE"/>
    <w:pPr>
      <w:shd w:val="clear" w:color="auto" w:fill="D9D9D9"/>
      <w:tabs>
        <w:tab w:val="left" w:pos="992"/>
      </w:tabs>
      <w:ind w:left="119" w:right="119"/>
    </w:pPr>
    <w:rPr>
      <w:sz w:val="20"/>
    </w:rPr>
  </w:style>
  <w:style w:type="paragraph" w:customStyle="1" w:styleId="MarginIcons">
    <w:name w:val="Margin Icons"/>
    <w:basedOn w:val="BodyText"/>
    <w:rsid w:val="00D325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5EE"/>
    <w:rPr>
      <w:rFonts w:ascii="Courier New" w:hAnsi="Courier New"/>
    </w:rPr>
  </w:style>
  <w:style w:type="paragraph" w:customStyle="1" w:styleId="NoteBullet">
    <w:name w:val="Note Bullet"/>
    <w:basedOn w:val="Note"/>
    <w:rsid w:val="00D325EE"/>
    <w:pPr>
      <w:tabs>
        <w:tab w:val="clear" w:pos="680"/>
      </w:tabs>
      <w:spacing w:before="60" w:after="60"/>
    </w:pPr>
  </w:style>
  <w:style w:type="paragraph" w:customStyle="1" w:styleId="SubHeading2">
    <w:name w:val="SubHeading2"/>
    <w:basedOn w:val="HeadingBase"/>
    <w:rsid w:val="00D325EE"/>
    <w:pPr>
      <w:spacing w:before="240" w:after="60"/>
    </w:pPr>
    <w:rPr>
      <w:sz w:val="20"/>
    </w:rPr>
  </w:style>
  <w:style w:type="paragraph" w:customStyle="1" w:styleId="SubHeading1">
    <w:name w:val="SubHeading1"/>
    <w:basedOn w:val="HeadingBase"/>
    <w:rsid w:val="00D325EE"/>
    <w:pPr>
      <w:spacing w:before="240" w:after="60"/>
    </w:pPr>
    <w:rPr>
      <w:color w:val="918585"/>
      <w:sz w:val="22"/>
    </w:rPr>
  </w:style>
  <w:style w:type="paragraph" w:customStyle="1" w:styleId="SideHeading">
    <w:name w:val="Side Heading"/>
    <w:basedOn w:val="HeadingBase"/>
    <w:rsid w:val="00D325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5EE"/>
    <w:pPr>
      <w:numPr>
        <w:numId w:val="12"/>
      </w:numPr>
    </w:pPr>
  </w:style>
  <w:style w:type="paragraph" w:styleId="PlainText">
    <w:name w:val="Plain Text"/>
    <w:basedOn w:val="Normal"/>
    <w:link w:val="PlainTextChar"/>
    <w:rsid w:val="00D325EE"/>
    <w:rPr>
      <w:sz w:val="20"/>
    </w:rPr>
  </w:style>
  <w:style w:type="character" w:customStyle="1" w:styleId="PlainTextChar">
    <w:name w:val="Plain Text Char"/>
    <w:basedOn w:val="DefaultParagraphFont"/>
    <w:link w:val="PlainText"/>
    <w:rsid w:val="00D325EE"/>
    <w:rPr>
      <w:rFonts w:ascii="Courier New" w:eastAsia="Times New Roman" w:hAnsi="Courier New" w:cs="Times New Roman"/>
      <w:sz w:val="20"/>
      <w:szCs w:val="20"/>
      <w:lang w:eastAsia="en-US"/>
    </w:rPr>
  </w:style>
  <w:style w:type="character" w:customStyle="1" w:styleId="MenuOption">
    <w:name w:val="Menu Option"/>
    <w:basedOn w:val="DefaultParagraphFont"/>
    <w:rsid w:val="00D325EE"/>
    <w:rPr>
      <w:b/>
      <w:smallCaps/>
    </w:rPr>
  </w:style>
  <w:style w:type="paragraph" w:customStyle="1" w:styleId="TableListNumber">
    <w:name w:val="Table List Number"/>
    <w:basedOn w:val="ListNumber"/>
    <w:rsid w:val="00D325EE"/>
    <w:pPr>
      <w:numPr>
        <w:numId w:val="0"/>
      </w:numPr>
    </w:pPr>
  </w:style>
  <w:style w:type="paragraph" w:styleId="TOC4">
    <w:name w:val="toc 4"/>
    <w:basedOn w:val="TOCBase"/>
    <w:next w:val="Normal"/>
    <w:semiHidden/>
    <w:rsid w:val="00D325EE"/>
    <w:pPr>
      <w:tabs>
        <w:tab w:val="right" w:leader="dot" w:pos="9071"/>
      </w:tabs>
      <w:ind w:left="1701"/>
    </w:pPr>
  </w:style>
  <w:style w:type="paragraph" w:customStyle="1" w:styleId="ListAlpha">
    <w:name w:val="List Alpha"/>
    <w:basedOn w:val="List"/>
    <w:rsid w:val="00D325EE"/>
    <w:pPr>
      <w:numPr>
        <w:numId w:val="9"/>
      </w:numPr>
    </w:pPr>
  </w:style>
  <w:style w:type="paragraph" w:customStyle="1" w:styleId="ListAlpha2">
    <w:name w:val="List Alpha 2"/>
    <w:basedOn w:val="List2"/>
    <w:rsid w:val="00D325EE"/>
    <w:pPr>
      <w:numPr>
        <w:numId w:val="8"/>
      </w:numPr>
    </w:pPr>
  </w:style>
  <w:style w:type="paragraph" w:styleId="List2">
    <w:name w:val="List 2"/>
    <w:basedOn w:val="BodyText"/>
    <w:rsid w:val="00D325EE"/>
    <w:pPr>
      <w:tabs>
        <w:tab w:val="left" w:pos="680"/>
      </w:tabs>
      <w:spacing w:before="60" w:after="60"/>
      <w:ind w:left="680" w:hanging="340"/>
    </w:pPr>
  </w:style>
  <w:style w:type="paragraph" w:styleId="List3">
    <w:name w:val="List 3"/>
    <w:basedOn w:val="BodyText"/>
    <w:rsid w:val="00D325EE"/>
    <w:pPr>
      <w:tabs>
        <w:tab w:val="left" w:pos="1021"/>
      </w:tabs>
      <w:spacing w:before="60" w:after="60"/>
      <w:ind w:left="1020" w:hanging="340"/>
    </w:pPr>
  </w:style>
  <w:style w:type="paragraph" w:styleId="List4">
    <w:name w:val="List 4"/>
    <w:basedOn w:val="BodyText"/>
    <w:rsid w:val="00D325EE"/>
    <w:pPr>
      <w:tabs>
        <w:tab w:val="left" w:pos="1361"/>
      </w:tabs>
      <w:spacing w:before="60" w:after="60"/>
      <w:ind w:left="1361" w:hanging="340"/>
    </w:pPr>
  </w:style>
  <w:style w:type="paragraph" w:styleId="List5">
    <w:name w:val="List 5"/>
    <w:basedOn w:val="BodyText"/>
    <w:rsid w:val="00D325EE"/>
    <w:pPr>
      <w:tabs>
        <w:tab w:val="left" w:pos="1701"/>
      </w:tabs>
      <w:spacing w:before="60" w:after="60"/>
      <w:ind w:left="1701" w:hanging="340"/>
    </w:pPr>
  </w:style>
  <w:style w:type="paragraph" w:styleId="ListBullet3">
    <w:name w:val="List Bullet 3"/>
    <w:basedOn w:val="List3"/>
    <w:rsid w:val="00D325EE"/>
    <w:pPr>
      <w:numPr>
        <w:numId w:val="15"/>
      </w:numPr>
      <w:tabs>
        <w:tab w:val="clear" w:pos="1021"/>
      </w:tabs>
      <w:ind w:left="1037" w:hanging="357"/>
    </w:pPr>
  </w:style>
  <w:style w:type="paragraph" w:styleId="ListBullet4">
    <w:name w:val="List Bullet 4"/>
    <w:basedOn w:val="List4"/>
    <w:rsid w:val="00D325EE"/>
    <w:pPr>
      <w:numPr>
        <w:numId w:val="3"/>
      </w:numPr>
    </w:pPr>
  </w:style>
  <w:style w:type="paragraph" w:styleId="ListBullet5">
    <w:name w:val="List Bullet 5"/>
    <w:basedOn w:val="List5"/>
    <w:rsid w:val="00D325EE"/>
    <w:pPr>
      <w:numPr>
        <w:numId w:val="4"/>
      </w:numPr>
    </w:pPr>
  </w:style>
  <w:style w:type="paragraph" w:styleId="ListContinue2">
    <w:name w:val="List Continue 2"/>
    <w:basedOn w:val="List2"/>
    <w:rsid w:val="00D325EE"/>
    <w:pPr>
      <w:ind w:firstLine="0"/>
    </w:pPr>
  </w:style>
  <w:style w:type="paragraph" w:styleId="ListContinue3">
    <w:name w:val="List Continue 3"/>
    <w:basedOn w:val="List3"/>
    <w:rsid w:val="00D325EE"/>
    <w:pPr>
      <w:ind w:left="1021" w:firstLine="0"/>
    </w:pPr>
  </w:style>
  <w:style w:type="paragraph" w:styleId="ListContinue4">
    <w:name w:val="List Continue 4"/>
    <w:basedOn w:val="List4"/>
    <w:rsid w:val="00D325EE"/>
    <w:pPr>
      <w:ind w:firstLine="0"/>
    </w:pPr>
  </w:style>
  <w:style w:type="paragraph" w:styleId="ListContinue5">
    <w:name w:val="List Continue 5"/>
    <w:basedOn w:val="List5"/>
    <w:rsid w:val="00D325EE"/>
    <w:pPr>
      <w:ind w:firstLine="0"/>
    </w:pPr>
  </w:style>
  <w:style w:type="paragraph" w:styleId="ListNumber3">
    <w:name w:val="List Number 3"/>
    <w:basedOn w:val="List3"/>
    <w:rsid w:val="00D325EE"/>
    <w:pPr>
      <w:numPr>
        <w:numId w:val="5"/>
      </w:numPr>
    </w:pPr>
  </w:style>
  <w:style w:type="paragraph" w:styleId="ListNumber4">
    <w:name w:val="List Number 4"/>
    <w:basedOn w:val="List4"/>
    <w:rsid w:val="00D325EE"/>
    <w:pPr>
      <w:numPr>
        <w:numId w:val="6"/>
      </w:numPr>
    </w:pPr>
  </w:style>
  <w:style w:type="paragraph" w:styleId="ListNumber5">
    <w:name w:val="List Number 5"/>
    <w:basedOn w:val="List5"/>
    <w:rsid w:val="00D325EE"/>
    <w:pPr>
      <w:numPr>
        <w:numId w:val="7"/>
      </w:numPr>
    </w:pPr>
  </w:style>
  <w:style w:type="paragraph" w:styleId="BlockText">
    <w:name w:val="Block Text"/>
    <w:basedOn w:val="Normal"/>
    <w:rsid w:val="00D325EE"/>
    <w:pPr>
      <w:spacing w:after="120"/>
      <w:ind w:left="1440" w:right="1440"/>
    </w:pPr>
  </w:style>
  <w:style w:type="character" w:customStyle="1" w:styleId="Subscript">
    <w:name w:val="Subscript"/>
    <w:basedOn w:val="DefaultParagraphFont"/>
    <w:rsid w:val="00D325EE"/>
    <w:rPr>
      <w:sz w:val="16"/>
      <w:vertAlign w:val="subscript"/>
    </w:rPr>
  </w:style>
  <w:style w:type="character" w:customStyle="1" w:styleId="Superscript">
    <w:name w:val="Superscript"/>
    <w:basedOn w:val="DefaultParagraphFont"/>
    <w:rsid w:val="00D325EE"/>
    <w:rPr>
      <w:sz w:val="16"/>
      <w:vertAlign w:val="superscript"/>
    </w:rPr>
  </w:style>
  <w:style w:type="character" w:customStyle="1" w:styleId="Symbols">
    <w:name w:val="Symbols"/>
    <w:basedOn w:val="DefaultParagraphFont"/>
    <w:rsid w:val="00D325EE"/>
    <w:rPr>
      <w:rFonts w:ascii="Symbol" w:hAnsi="Symbol"/>
    </w:rPr>
  </w:style>
  <w:style w:type="character" w:customStyle="1" w:styleId="MenuOptions">
    <w:name w:val="Menu Options"/>
    <w:basedOn w:val="DefaultParagraphFont"/>
    <w:rsid w:val="00D325EE"/>
    <w:rPr>
      <w:rFonts w:ascii="Arial Narrow" w:hAnsi="Arial Narrow"/>
      <w:smallCaps/>
    </w:rPr>
  </w:style>
  <w:style w:type="character" w:customStyle="1" w:styleId="Buttons">
    <w:name w:val="Buttons"/>
    <w:basedOn w:val="DefaultParagraphFont"/>
    <w:rsid w:val="00D325EE"/>
    <w:rPr>
      <w:b/>
    </w:rPr>
  </w:style>
  <w:style w:type="character" w:customStyle="1" w:styleId="Underlined">
    <w:name w:val="Underlined"/>
    <w:basedOn w:val="DefaultParagraphFont"/>
    <w:rsid w:val="00D325EE"/>
    <w:rPr>
      <w:u w:val="single"/>
    </w:rPr>
  </w:style>
  <w:style w:type="paragraph" w:customStyle="1" w:styleId="TableBodyTextRight">
    <w:name w:val="Table Body Text Right"/>
    <w:basedOn w:val="TableBodyText"/>
    <w:rsid w:val="00D325EE"/>
    <w:pPr>
      <w:widowControl w:val="0"/>
      <w:autoSpaceDE w:val="0"/>
      <w:autoSpaceDN w:val="0"/>
      <w:adjustRightInd w:val="0"/>
      <w:jc w:val="right"/>
    </w:pPr>
    <w:rPr>
      <w:rFonts w:cs="Arial"/>
      <w:szCs w:val="18"/>
    </w:rPr>
  </w:style>
  <w:style w:type="paragraph" w:customStyle="1" w:styleId="CopyrightText">
    <w:name w:val="Copyright Text"/>
    <w:basedOn w:val="BodyText"/>
    <w:rsid w:val="00D325EE"/>
    <w:rPr>
      <w:sz w:val="18"/>
    </w:rPr>
  </w:style>
  <w:style w:type="paragraph" w:customStyle="1" w:styleId="BodySmallRight">
    <w:name w:val="Body Small Right"/>
    <w:basedOn w:val="BodyTextRight"/>
    <w:rsid w:val="00D325EE"/>
    <w:rPr>
      <w:sz w:val="18"/>
      <w:szCs w:val="18"/>
    </w:rPr>
  </w:style>
  <w:style w:type="paragraph" w:customStyle="1" w:styleId="MarginEdition">
    <w:name w:val="Margin Edition"/>
    <w:basedOn w:val="MarginNote"/>
    <w:rsid w:val="00D325EE"/>
    <w:pPr>
      <w:spacing w:before="0" w:after="0"/>
    </w:pPr>
    <w:rPr>
      <w:rFonts w:ascii="Times New Roman" w:hAnsi="Times New Roman"/>
      <w:color w:val="999999"/>
    </w:rPr>
  </w:style>
  <w:style w:type="paragraph" w:customStyle="1" w:styleId="Spacer">
    <w:name w:val="Spacer"/>
    <w:basedOn w:val="Normal"/>
    <w:rsid w:val="00D325EE"/>
    <w:rPr>
      <w:sz w:val="2"/>
      <w:szCs w:val="2"/>
    </w:rPr>
  </w:style>
  <w:style w:type="character" w:customStyle="1" w:styleId="Small">
    <w:name w:val="Small"/>
    <w:basedOn w:val="DefaultParagraphFont"/>
    <w:rsid w:val="00D325EE"/>
    <w:rPr>
      <w:sz w:val="16"/>
    </w:rPr>
  </w:style>
  <w:style w:type="paragraph" w:customStyle="1" w:styleId="WideTable">
    <w:name w:val="Wide Table"/>
    <w:basedOn w:val="Normal"/>
    <w:rsid w:val="00D325EE"/>
    <w:pPr>
      <w:ind w:left="-1418"/>
    </w:pPr>
    <w:rPr>
      <w:sz w:val="2"/>
      <w:szCs w:val="2"/>
    </w:rPr>
  </w:style>
  <w:style w:type="character" w:styleId="PageNumber">
    <w:name w:val="page number"/>
    <w:basedOn w:val="DefaultParagraphFont"/>
    <w:rsid w:val="00D325EE"/>
  </w:style>
  <w:style w:type="paragraph" w:styleId="Quote">
    <w:name w:val="Quote"/>
    <w:basedOn w:val="Heading1"/>
    <w:link w:val="QuoteChar"/>
    <w:qFormat/>
    <w:rsid w:val="00D325EE"/>
    <w:rPr>
      <w:b w:val="0"/>
      <w:sz w:val="72"/>
      <w:szCs w:val="72"/>
      <w:lang w:val="en-NZ"/>
    </w:rPr>
  </w:style>
  <w:style w:type="character" w:customStyle="1" w:styleId="QuoteChar">
    <w:name w:val="Quote Char"/>
    <w:basedOn w:val="DefaultParagraphFont"/>
    <w:link w:val="Quote"/>
    <w:rsid w:val="00D325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5EE"/>
    <w:pPr>
      <w:pageBreakBefore/>
    </w:pPr>
  </w:style>
  <w:style w:type="paragraph" w:customStyle="1" w:styleId="Border">
    <w:name w:val="Border"/>
    <w:basedOn w:val="Normal"/>
    <w:qFormat/>
    <w:rsid w:val="00D325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5EE"/>
    <w:rPr>
      <w:b/>
      <w:bCs/>
      <w:i/>
      <w:iCs/>
      <w:color w:val="auto"/>
    </w:rPr>
  </w:style>
  <w:style w:type="paragraph" w:styleId="IntenseQuote">
    <w:name w:val="Intense Quote"/>
    <w:basedOn w:val="Normal"/>
    <w:next w:val="Normal"/>
    <w:link w:val="IntenseQuoteChar"/>
    <w:uiPriority w:val="30"/>
    <w:qFormat/>
    <w:rsid w:val="00D325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5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5EE"/>
    <w:rPr>
      <w:smallCaps/>
      <w:color w:val="auto"/>
      <w:u w:val="single"/>
    </w:rPr>
  </w:style>
  <w:style w:type="character" w:styleId="IntenseReference">
    <w:name w:val="Intense Reference"/>
    <w:basedOn w:val="DefaultParagraphFont"/>
    <w:uiPriority w:val="32"/>
    <w:qFormat/>
    <w:rsid w:val="00D325EE"/>
    <w:rPr>
      <w:b/>
      <w:bCs/>
      <w:smallCaps/>
      <w:color w:val="auto"/>
      <w:spacing w:val="5"/>
      <w:u w:val="single"/>
    </w:rPr>
  </w:style>
  <w:style w:type="paragraph" w:customStyle="1" w:styleId="2ColumnHeading">
    <w:name w:val="2Column Heading"/>
    <w:basedOn w:val="BodyText"/>
    <w:qFormat/>
    <w:rsid w:val="00D325EE"/>
    <w:pPr>
      <w:spacing w:after="60"/>
      <w:ind w:left="-2268"/>
    </w:pPr>
    <w:rPr>
      <w:b/>
    </w:rPr>
  </w:style>
  <w:style w:type="paragraph" w:customStyle="1" w:styleId="Heading1TOC">
    <w:name w:val="Heading1 TOC"/>
    <w:basedOn w:val="Normal"/>
    <w:qFormat/>
    <w:rsid w:val="00D325EE"/>
    <w:pPr>
      <w:spacing w:before="240" w:after="120"/>
    </w:pPr>
    <w:rPr>
      <w:rFonts w:ascii="Times New Roman" w:hAnsi="Times New Roman"/>
      <w:b/>
      <w:sz w:val="32"/>
    </w:rPr>
  </w:style>
  <w:style w:type="paragraph" w:customStyle="1" w:styleId="Heading2TOC">
    <w:name w:val="Heading2 TOC"/>
    <w:basedOn w:val="Normal"/>
    <w:qFormat/>
    <w:rsid w:val="00D325EE"/>
    <w:pPr>
      <w:spacing w:before="240" w:after="60"/>
    </w:pPr>
    <w:rPr>
      <w:rFonts w:ascii="Times New Roman" w:hAnsi="Times New Roman"/>
      <w:b/>
      <w:sz w:val="28"/>
    </w:rPr>
  </w:style>
  <w:style w:type="character" w:customStyle="1" w:styleId="Underline">
    <w:name w:val="Underline"/>
    <w:basedOn w:val="DefaultParagraphFont"/>
    <w:qFormat/>
    <w:rsid w:val="00D325EE"/>
    <w:rPr>
      <w:u w:val="single"/>
    </w:rPr>
  </w:style>
  <w:style w:type="character" w:customStyle="1" w:styleId="BoldandItalics">
    <w:name w:val="Bold and Italics"/>
    <w:qFormat/>
    <w:rsid w:val="00D325EE"/>
    <w:rPr>
      <w:b/>
      <w:i/>
      <w:u w:val="none"/>
    </w:rPr>
  </w:style>
  <w:style w:type="paragraph" w:styleId="BalloonText">
    <w:name w:val="Balloon Text"/>
    <w:basedOn w:val="Normal"/>
    <w:link w:val="BalloonTextChar"/>
    <w:rsid w:val="00D325EE"/>
    <w:rPr>
      <w:rFonts w:ascii="Tahoma" w:hAnsi="Tahoma" w:cs="Tahoma"/>
      <w:sz w:val="16"/>
      <w:szCs w:val="16"/>
    </w:rPr>
  </w:style>
  <w:style w:type="character" w:customStyle="1" w:styleId="BalloonTextChar">
    <w:name w:val="Balloon Text Char"/>
    <w:basedOn w:val="DefaultParagraphFont"/>
    <w:link w:val="BalloonText"/>
    <w:rsid w:val="00D325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5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25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5EE"/>
    <w:rPr>
      <w:b/>
      <w:color w:val="660033"/>
      <w:spacing w:val="0"/>
    </w:rPr>
  </w:style>
  <w:style w:type="paragraph" w:customStyle="1" w:styleId="Nameditemlist">
    <w:name w:val="Named item list"/>
    <w:basedOn w:val="BodyText"/>
    <w:qFormat/>
    <w:rsid w:val="00D325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1494</Words>
  <Characters>9004</Characters>
  <Application>Microsoft Office Word</Application>
  <DocSecurity>0</DocSecurity>
  <Lines>320</Lines>
  <Paragraphs>141</Paragraphs>
  <ScaleCrop>false</ScaleCrop>
  <Company>Author-it Software Corporation Ltd.</Company>
  <LinksUpToDate>false</LinksUpToDate>
  <CharactersWithSpaces>10433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CHCMH409A Facilitate consumer, family and carer participation in the recovery process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2012-10-05T12:44:00Z</dcterms:created>
  <dcterms:modified xsi:type="dcterms:W3CDTF">2012-10-05T12:44:00Z</dcterms:modified>
</cp:coreProperties>
</file>