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DA9" w:rsidP="00EC4DA9">
      <w:pPr>
        <w:pStyle w:val="Title"/>
      </w:pPr>
      <w:r>
        <w:fldChar w:fldCharType="begin"/>
      </w:r>
      <w:r>
        <w:instrText xml:space="preserve"> TITLE   \* MERGEFORMAT </w:instrText>
      </w:r>
      <w:r>
        <w:fldChar w:fldCharType="separate"/>
      </w:r>
      <w:r>
        <w:t>CHCMED419C Facilitate alternative dispute resolution processes</w:t>
      </w:r>
      <w:r>
        <w:fldChar w:fldCharType="end"/>
      </w:r>
    </w:p>
    <w:p w:rsidR="00EC4DA9" w:rsidP="00EC4DA9">
      <w:pPr>
        <w:pStyle w:val="Version"/>
        <w:sectPr w:rsidSect="00F06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B42" w:rsidP="00F06B42">
      <w:pPr>
        <w:pStyle w:val="SuperHeading"/>
      </w:pPr>
      <w:r w:rsidRPr="00F06B42">
        <w:t>CHCMED419C Facilitate alternative dispute resolution processes</w:t>
      </w:r>
    </w:p>
    <w:p w:rsidR="00000000" w:rsidRPr="00F06B42" w:rsidP="00F06B42">
      <w:pPr>
        <w:pStyle w:val="Heading1"/>
      </w:pPr>
      <w:bookmarkStart w:id="1" w:name="O_269239"/>
      <w:bookmarkEnd w:id="1"/>
      <w:r w:rsidRPr="00F06B42">
        <w:t>Modification History</w:t>
      </w:r>
    </w:p>
    <w:p w:rsidR="00000000" w:rsidRPr="00F06B42" w:rsidP="00F06B42">
      <w:pPr>
        <w:pStyle w:val="BodyText"/>
      </w:pPr>
      <w:r w:rsidRPr="00F06B42">
        <w:t>Not Applicable</w:t>
      </w:r>
    </w:p>
    <w:p w:rsidR="00000000" w:rsidRPr="00F06B42" w:rsidP="00F06B42">
      <w:pPr>
        <w:pStyle w:val="AllowPageBreak"/>
      </w:pPr>
    </w:p>
    <w:p w:rsidR="00000000" w:rsidRPr="00F06B42" w:rsidP="00F06B42">
      <w:pPr>
        <w:pStyle w:val="Heading1"/>
      </w:pPr>
      <w:bookmarkStart w:id="2" w:name="O_196163"/>
      <w:bookmarkEnd w:id="2"/>
      <w:r w:rsidRPr="00F06B42">
        <w:t>Unit Descriptor</w:t>
      </w:r>
    </w:p>
    <w:tbl>
      <w:tblPr>
        <w:tblW w:w="0" w:type="auto"/>
        <w:tblLayout w:type="fixed"/>
        <w:tblCellMar>
          <w:left w:w="62" w:type="dxa"/>
          <w:right w:w="62" w:type="dxa"/>
        </w:tblCellMar>
        <w:tblLook w:val="0000"/>
      </w:tblPr>
      <w:tblGrid>
        <w:gridCol w:w="3339"/>
        <w:gridCol w:w="5217"/>
      </w:tblGrid>
      <w:tr w:rsidTr="00EC4D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 xml:space="preserve">This unit describes the knowledge and skills required for mediators to facilitate the agreed </w:t>
            </w:r>
            <w:r w:rsidRPr="00F06B42">
              <w:t>alternative dispute resolution process</w:t>
            </w:r>
          </w:p>
        </w:tc>
      </w:tr>
    </w:tbl>
    <w:p w:rsidR="00EC4DA9" w:rsidP="00F06B42">
      <w:pPr>
        <w:pStyle w:val="BodyText"/>
      </w:pPr>
    </w:p>
    <w:p w:rsidR="00EC4DA9" w:rsidP="00F06B42">
      <w:pPr>
        <w:pStyle w:val="BodyText"/>
      </w:pPr>
    </w:p>
    <w:p w:rsidR="00000000" w:rsidRPr="00F06B42" w:rsidP="00F06B42">
      <w:pPr>
        <w:pStyle w:val="Heading1"/>
      </w:pPr>
      <w:bookmarkStart w:id="3" w:name="O_196165"/>
      <w:bookmarkEnd w:id="3"/>
      <w:r w:rsidRPr="00F06B42">
        <w:t>Application of the Unit</w:t>
      </w:r>
    </w:p>
    <w:tbl>
      <w:tblPr>
        <w:tblW w:w="0" w:type="auto"/>
        <w:tblLayout w:type="fixed"/>
        <w:tblCellMar>
          <w:left w:w="62" w:type="dxa"/>
          <w:right w:w="62" w:type="dxa"/>
        </w:tblCellMar>
        <w:tblLook w:val="0000"/>
      </w:tblPr>
      <w:tblGrid>
        <w:gridCol w:w="3349"/>
        <w:gridCol w:w="5207"/>
      </w:tblGrid>
      <w:tr w:rsidTr="00EC4D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This unit may apply to mediation work in a range of community service contexts</w:t>
            </w:r>
          </w:p>
        </w:tc>
      </w:tr>
    </w:tbl>
    <w:p w:rsidR="00EC4DA9" w:rsidP="00F06B42">
      <w:pPr>
        <w:pStyle w:val="BodyText"/>
      </w:pPr>
    </w:p>
    <w:p w:rsidR="00EC4DA9" w:rsidP="00F06B42">
      <w:pPr>
        <w:pStyle w:val="BodyText"/>
      </w:pPr>
    </w:p>
    <w:p w:rsidR="00000000" w:rsidRPr="00F06B42" w:rsidP="00F06B42">
      <w:pPr>
        <w:pStyle w:val="Heading1"/>
      </w:pPr>
      <w:bookmarkStart w:id="4" w:name="O_277499"/>
      <w:bookmarkEnd w:id="4"/>
      <w:r w:rsidRPr="00F06B42">
        <w:t>Licensing/Regulatory Information</w:t>
      </w:r>
    </w:p>
    <w:p w:rsidR="00000000" w:rsidRPr="00F06B42" w:rsidP="00F06B42">
      <w:pPr>
        <w:pStyle w:val="BodyText"/>
      </w:pPr>
      <w:r w:rsidRPr="00F06B42">
        <w:t>Not Applicable</w:t>
      </w:r>
    </w:p>
    <w:p w:rsidR="00000000" w:rsidRPr="00F06B42" w:rsidP="00F06B42">
      <w:pPr>
        <w:pStyle w:val="AllowPageBreak"/>
      </w:pPr>
    </w:p>
    <w:p w:rsidR="00000000" w:rsidRPr="00F06B42" w:rsidP="00F06B42">
      <w:pPr>
        <w:pStyle w:val="Heading1"/>
      </w:pPr>
      <w:bookmarkStart w:id="5" w:name="O_283338"/>
      <w:bookmarkEnd w:id="5"/>
      <w:r w:rsidRPr="00F06B42">
        <w:t>Pre-Requisites</w:t>
      </w:r>
    </w:p>
    <w:p w:rsidR="00000000" w:rsidRPr="00F06B42" w:rsidP="00F06B42">
      <w:pPr>
        <w:pStyle w:val="BodyText"/>
      </w:pPr>
      <w:r w:rsidRPr="00F06B42">
        <w:t>Not Applicable</w:t>
      </w:r>
    </w:p>
    <w:p w:rsidR="00000000" w:rsidRPr="00F06B42" w:rsidP="00F06B42">
      <w:pPr>
        <w:pStyle w:val="AllowPageBreak"/>
      </w:pPr>
    </w:p>
    <w:p w:rsidR="00000000" w:rsidRPr="00F06B42" w:rsidP="00F06B42">
      <w:pPr>
        <w:pStyle w:val="Heading1"/>
      </w:pPr>
      <w:bookmarkStart w:id="6" w:name="O_196164"/>
      <w:bookmarkEnd w:id="6"/>
      <w:r w:rsidRPr="00F06B42">
        <w:t>Employability Skills Information</w:t>
      </w:r>
    </w:p>
    <w:tbl>
      <w:tblPr>
        <w:tblW w:w="0" w:type="auto"/>
        <w:tblLayout w:type="fixed"/>
        <w:tblCellMar>
          <w:left w:w="62" w:type="dxa"/>
          <w:right w:w="62" w:type="dxa"/>
        </w:tblCellMar>
        <w:tblLook w:val="0000"/>
      </w:tblPr>
      <w:tblGrid>
        <w:gridCol w:w="3320"/>
        <w:gridCol w:w="5236"/>
      </w:tblGrid>
      <w:tr w:rsidTr="00EC4D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This unit contains Employability Skills</w:t>
            </w:r>
          </w:p>
        </w:tc>
      </w:tr>
    </w:tbl>
    <w:p w:rsidR="00EC4DA9" w:rsidP="00F06B42">
      <w:pPr>
        <w:pStyle w:val="BodyText"/>
      </w:pPr>
    </w:p>
    <w:p w:rsidR="00EC4DA9" w:rsidP="00F06B42">
      <w:pPr>
        <w:pStyle w:val="BodyText"/>
      </w:pPr>
    </w:p>
    <w:p w:rsidR="00000000" w:rsidRPr="00F06B42" w:rsidP="00F06B42">
      <w:pPr>
        <w:pStyle w:val="Heading1"/>
      </w:pPr>
      <w:bookmarkStart w:id="7" w:name="O_287285"/>
      <w:bookmarkEnd w:id="7"/>
      <w:r w:rsidRPr="00F06B42">
        <w:t>Elements and Performance Criteria Pre-Content</w:t>
      </w:r>
    </w:p>
    <w:tbl>
      <w:tblPr>
        <w:tblW w:w="0" w:type="auto"/>
        <w:tblLayout w:type="fixed"/>
        <w:tblCellMar>
          <w:left w:w="62" w:type="dxa"/>
          <w:right w:w="62" w:type="dxa"/>
        </w:tblCellMar>
        <w:tblLook w:val="0000"/>
      </w:tblPr>
      <w:tblGrid>
        <w:gridCol w:w="3369"/>
        <w:gridCol w:w="5702"/>
      </w:tblGrid>
      <w:tr w:rsidTr="00EC4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t>Elements define the essential outcomes of</w:t>
            </w:r>
            <w:r w:rsidRPr="00F06B42">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 xml:space="preserve">The Performance Criteria specify the level of performance required to demonstrate achievement of the Element. Terms in italics are elaborated in the Range Statement. </w:t>
            </w:r>
          </w:p>
        </w:tc>
      </w:tr>
    </w:tbl>
    <w:p w:rsidR="00000000" w:rsidRPr="00F06B42" w:rsidP="00F06B42">
      <w:pPr>
        <w:pStyle w:val="BodyText"/>
      </w:pPr>
    </w:p>
    <w:p w:rsidR="00000000" w:rsidRPr="00F06B42" w:rsidP="00F06B42">
      <w:pPr>
        <w:pStyle w:val="AllowPageBreak"/>
      </w:pPr>
    </w:p>
    <w:p w:rsidR="00000000" w:rsidRPr="00F06B42" w:rsidP="00F06B42">
      <w:pPr>
        <w:pStyle w:val="Heading1"/>
      </w:pPr>
      <w:bookmarkStart w:id="8" w:name="O_233952"/>
      <w:bookmarkEnd w:id="8"/>
      <w:r w:rsidRPr="00F06B42">
        <w:t>Elements and Performance Criteria</w:t>
      </w:r>
    </w:p>
    <w:tbl>
      <w:tblPr>
        <w:tblW w:w="0" w:type="auto"/>
        <w:tblLayout w:type="fixed"/>
        <w:tblCellMar>
          <w:left w:w="62" w:type="dxa"/>
          <w:right w:w="62" w:type="dxa"/>
        </w:tblCellMar>
        <w:tblLook w:val="0000"/>
      </w:tblPr>
      <w:tblGrid>
        <w:gridCol w:w="3369"/>
        <w:gridCol w:w="5702"/>
      </w:tblGrid>
      <w:tr w:rsidTr="00EC4D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PERFORMANCE CRITERIA</w:t>
            </w:r>
          </w:p>
        </w:tc>
      </w:tr>
      <w:tr w:rsidTr="00EC4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B42">
            <w:pPr>
              <w:pStyle w:val="List"/>
              <w:rPr>
                <w:lang w:val="en-NZ"/>
              </w:rPr>
            </w:pPr>
            <w:r w:rsidRPr="00F06B42">
              <w:t>1.</w:t>
            </w:r>
            <w:r w:rsidRPr="00F06B42">
              <w:tab/>
              <w:t xml:space="preserve">Facilitate the structure of the </w:t>
            </w:r>
            <w:r w:rsidRPr="00F06B42">
              <w:rPr>
                <w:rStyle w:val="Emphasis"/>
              </w:rPr>
              <w:t>alternative dispute resolution</w:t>
            </w:r>
            <w:r w:rsidRPr="00F06B42">
              <w:t xml:space="preserve"> </w:t>
            </w:r>
            <w:r w:rsidRPr="00F06B42">
              <w:rPr>
                <w:rStyle w:val="Emphasis"/>
              </w:rPr>
              <w:t>process</w:t>
            </w:r>
          </w:p>
        </w:tc>
        <w:tc>
          <w:tcPr>
            <w:tcW w:w="5702"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1.1</w:t>
            </w:r>
            <w:r w:rsidRPr="00F06B42">
              <w:tab/>
              <w:t xml:space="preserve">Achieve appropriate degree of party responsibility for the outcome and the process </w:t>
            </w:r>
          </w:p>
          <w:p w:rsidR="00000000" w:rsidRPr="00F06B42" w:rsidP="00F06B42">
            <w:pPr>
              <w:pStyle w:val="BodyText"/>
            </w:pPr>
            <w:r w:rsidRPr="00F06B42">
              <w:t>1.2</w:t>
            </w:r>
            <w:r w:rsidRPr="00F06B42">
              <w:tab/>
              <w:t xml:space="preserve">Support </w:t>
            </w:r>
            <w:r w:rsidRPr="00F06B42">
              <w:rPr>
                <w:rStyle w:val="Emphasis"/>
              </w:rPr>
              <w:t>parties</w:t>
            </w:r>
            <w:r w:rsidRPr="00F06B42">
              <w:t xml:space="preserve"> in outlining relevant issues within the dispute</w:t>
            </w:r>
          </w:p>
          <w:p w:rsidR="00000000" w:rsidRPr="00F06B42" w:rsidP="00F06B42">
            <w:pPr>
              <w:pStyle w:val="BodyText"/>
            </w:pPr>
            <w:r w:rsidRPr="00F06B42">
              <w:t>1.3</w:t>
            </w:r>
            <w:r w:rsidRPr="00F06B42">
              <w:tab/>
            </w:r>
            <w:r w:rsidRPr="00F06B42">
              <w:t>Demonstrate sincerity and integrity and thereby develop and maintain trust</w:t>
            </w:r>
          </w:p>
          <w:p w:rsidR="00000000" w:rsidRPr="00F06B42" w:rsidP="00F06B42">
            <w:pPr>
              <w:pStyle w:val="BodyText"/>
            </w:pPr>
            <w:r w:rsidRPr="00F06B42">
              <w:t>1.4</w:t>
            </w:r>
            <w:r w:rsidRPr="00F06B42">
              <w:tab/>
              <w:t xml:space="preserve">Outline and implement processes to ensure respect for parties safety and needs </w:t>
            </w:r>
          </w:p>
          <w:p w:rsidR="00000000" w:rsidRPr="00F06B42" w:rsidP="00F06B42">
            <w:pPr>
              <w:pStyle w:val="BodyText"/>
            </w:pPr>
            <w:r w:rsidRPr="00F06B42">
              <w:t>1.5</w:t>
            </w:r>
            <w:r w:rsidRPr="00F06B42">
              <w:tab/>
              <w:t xml:space="preserve">Outline options/need to move from one type of ADR to another </w:t>
            </w:r>
          </w:p>
          <w:p w:rsidR="00000000" w:rsidP="00F06B42">
            <w:pPr>
              <w:pStyle w:val="BodyText"/>
              <w:rPr>
                <w:lang w:val="en-NZ"/>
              </w:rPr>
            </w:pPr>
            <w:r w:rsidRPr="00F06B42">
              <w:t>1.6</w:t>
            </w:r>
            <w:r w:rsidRPr="00F06B42">
              <w:tab/>
              <w:t>Identify and take into acco</w:t>
            </w:r>
            <w:r w:rsidRPr="00F06B42">
              <w:t>unt legislative and other constraints in advising on appropriate dispute resolution process</w:t>
            </w:r>
          </w:p>
        </w:tc>
      </w:tr>
      <w:tr w:rsidTr="00EC4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B42">
            <w:pPr>
              <w:pStyle w:val="List"/>
              <w:rPr>
                <w:lang w:val="en-NZ"/>
              </w:rPr>
            </w:pPr>
            <w:r w:rsidRPr="00F06B42">
              <w:t>2.</w:t>
            </w:r>
            <w:r w:rsidRPr="00F06B42">
              <w:tab/>
              <w:t>Assist parties to work to achieve resolution</w:t>
            </w:r>
          </w:p>
        </w:tc>
        <w:tc>
          <w:tcPr>
            <w:tcW w:w="5702"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2.1</w:t>
            </w:r>
            <w:r w:rsidRPr="00F06B42">
              <w:tab/>
              <w:t xml:space="preserve">Assist parties to prepare for problem solving and negotiation </w:t>
            </w:r>
          </w:p>
          <w:p w:rsidR="00000000" w:rsidRPr="00F06B42" w:rsidP="00F06B42">
            <w:pPr>
              <w:pStyle w:val="BodyText"/>
            </w:pPr>
            <w:r w:rsidRPr="00F06B42">
              <w:t>2.2</w:t>
            </w:r>
            <w:r w:rsidRPr="00F06B42">
              <w:tab/>
            </w:r>
            <w:r w:rsidRPr="00F06B42">
              <w:t>Support parties to identify real needs and goals</w:t>
            </w:r>
          </w:p>
          <w:p w:rsidR="00000000" w:rsidRPr="00F06B42" w:rsidP="00F06B42">
            <w:pPr>
              <w:pStyle w:val="BodyText"/>
            </w:pPr>
            <w:r w:rsidRPr="00F06B42">
              <w:t>2.3</w:t>
            </w:r>
            <w:r w:rsidRPr="00F06B42">
              <w:tab/>
              <w:t>Support parties to identify options for decision-making</w:t>
            </w:r>
          </w:p>
          <w:p w:rsidR="00000000" w:rsidP="00F06B42">
            <w:pPr>
              <w:pStyle w:val="BodyText"/>
              <w:rPr>
                <w:lang w:val="en-NZ"/>
              </w:rPr>
            </w:pPr>
            <w:r w:rsidRPr="00F06B42">
              <w:t>2.4</w:t>
            </w:r>
            <w:r w:rsidRPr="00F06B42">
              <w:tab/>
              <w:t>Assist parties to identify agreements and decisions made, and future action required</w:t>
            </w:r>
          </w:p>
        </w:tc>
      </w:tr>
      <w:tr w:rsidTr="00EC4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06B42" w:rsidP="00F06B42">
            <w:pPr>
              <w:pStyle w:val="BodyText"/>
            </w:pPr>
          </w:p>
        </w:tc>
      </w:tr>
    </w:tbl>
    <w:p w:rsidR="00EC4DA9" w:rsidP="00F06B42">
      <w:pPr>
        <w:pStyle w:val="BodyText"/>
      </w:pPr>
    </w:p>
    <w:p w:rsidR="00EC4DA9" w:rsidP="00F06B42">
      <w:pPr>
        <w:pStyle w:val="BodyText"/>
      </w:pPr>
    </w:p>
    <w:p w:rsidR="00000000" w:rsidRPr="00F06B42" w:rsidP="00F06B42">
      <w:pPr>
        <w:pStyle w:val="Heading1"/>
      </w:pPr>
      <w:bookmarkStart w:id="9" w:name="O_257902"/>
      <w:bookmarkEnd w:id="9"/>
      <w:r w:rsidRPr="00F06B42">
        <w:t>Required Skills and Knowledge</w:t>
      </w:r>
    </w:p>
    <w:tbl>
      <w:tblPr>
        <w:tblW w:w="0" w:type="auto"/>
        <w:tblLayout w:type="fixed"/>
        <w:tblCellMar>
          <w:left w:w="62" w:type="dxa"/>
          <w:right w:w="62" w:type="dxa"/>
        </w:tblCellMar>
        <w:tblLook w:val="0000"/>
      </w:tblPr>
      <w:tblGrid>
        <w:gridCol w:w="9072"/>
      </w:tblGrid>
      <w:tr w:rsidTr="00EC4D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REQ</w:t>
            </w:r>
            <w:r w:rsidRPr="00F06B42">
              <w:rPr>
                <w:rStyle w:val="SpecialBold"/>
              </w:rPr>
              <w:t>UIRED SKILLS AND KNOWLEDGE</w:t>
            </w: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t>This describes the essential skills and knowledge and their level required for this unit.</w:t>
            </w: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rPr>
                <w:rStyle w:val="Emphasis"/>
              </w:rPr>
              <w:t>Essential knowledge</w:t>
            </w:r>
            <w:r w:rsidRPr="00F06B42">
              <w:t>:</w:t>
            </w:r>
          </w:p>
          <w:p w:rsidR="00000000" w:rsidRPr="00F06B42" w:rsidP="00F06B42">
            <w:pPr>
              <w:pStyle w:val="BodyText"/>
            </w:pPr>
            <w:r w:rsidRPr="00F06B4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06B42" w:rsidP="00F06B42">
            <w:pPr>
              <w:pStyle w:val="BodyText"/>
            </w:pPr>
            <w:r w:rsidRPr="00F06B42">
              <w:t xml:space="preserve">These include </w:t>
            </w:r>
            <w:r w:rsidRPr="00F06B42">
              <w:t>knowledge of:</w:t>
            </w:r>
          </w:p>
          <w:p w:rsidR="00000000" w:rsidRPr="00F06B42" w:rsidP="00F06B42">
            <w:pPr>
              <w:pStyle w:val="ListBullet"/>
            </w:pPr>
            <w:r w:rsidRPr="00F06B42">
              <w:t>Availability of professional, academic, technical, community and educational resources for parties' use or referral</w:t>
            </w:r>
          </w:p>
          <w:p w:rsidR="00000000" w:rsidRPr="00F06B42" w:rsidP="00F06B42">
            <w:pPr>
              <w:pStyle w:val="ListBullet"/>
            </w:pPr>
            <w:r w:rsidRPr="00F06B42">
              <w:t>Awareness of different cultural systems for dispute resolution and their impact on progress of the ADR</w:t>
            </w:r>
          </w:p>
          <w:p w:rsidR="00000000" w:rsidRPr="00F06B42" w:rsidP="00F06B42">
            <w:pPr>
              <w:pStyle w:val="ListBullet"/>
            </w:pPr>
            <w:r w:rsidRPr="00F06B42">
              <w:t>Other dispute resolution procedures</w:t>
            </w:r>
          </w:p>
          <w:p w:rsidR="00000000" w:rsidRPr="00F06B42" w:rsidP="00F06B42">
            <w:pPr>
              <w:pStyle w:val="ListBullet"/>
            </w:pPr>
            <w:r w:rsidRPr="00F06B42">
              <w:t>Relevant relationships, such as couple, family and group relationships</w:t>
            </w:r>
          </w:p>
          <w:p w:rsidR="00000000" w:rsidRPr="00F06B42" w:rsidP="00F06B42">
            <w:pPr>
              <w:pStyle w:val="ListBullet"/>
            </w:pPr>
            <w:r w:rsidRPr="00F06B42">
              <w:t xml:space="preserve">The legal and social standards that would be applicable if the case was taken further to trial  </w:t>
            </w:r>
          </w:p>
          <w:p w:rsidR="00000000" w:rsidRPr="00F06B42" w:rsidP="00F06B42">
            <w:pPr>
              <w:pStyle w:val="ListBullet"/>
            </w:pPr>
            <w:r w:rsidRPr="00F06B42">
              <w:t>The legal, social, cultural, and economic and contex</w:t>
            </w:r>
            <w:r w:rsidRPr="00F06B42">
              <w:t xml:space="preserve">t within which the ADR practice is occurring </w:t>
            </w:r>
          </w:p>
          <w:p w:rsidR="00000000" w:rsidRPr="00F06B42" w:rsidP="00F06B42">
            <w:pPr>
              <w:pStyle w:val="ListBullet"/>
            </w:pPr>
            <w:r w:rsidRPr="00F06B42">
              <w:t>The structures, resources, processes and requirements of the agency</w:t>
            </w:r>
          </w:p>
          <w:p w:rsidR="00000000" w:rsidRPr="00F06B42" w:rsidP="00F06B42">
            <w:pPr>
              <w:pStyle w:val="ListBullet"/>
            </w:pPr>
            <w:r w:rsidRPr="00F06B42">
              <w:t>Understanding of the application of legislation including the Family Law Act, Property Law, the Privacy Act and Freedom of Information that ma</w:t>
            </w:r>
            <w:r w:rsidRPr="00F06B42">
              <w:t>y impact on the definition of the dispute</w:t>
            </w:r>
          </w:p>
          <w:p w:rsidR="00000000" w:rsidP="00F06B42">
            <w:pPr>
              <w:pStyle w:val="ListBullet"/>
              <w:rPr>
                <w:lang w:val="en-NZ"/>
              </w:rPr>
            </w:pPr>
            <w:r w:rsidRPr="00F06B42">
              <w:t>Understanding of the Rules of Evidence</w:t>
            </w: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rPr>
                <w:rStyle w:val="Emphasis"/>
              </w:rPr>
              <w:t>Essential skills</w:t>
            </w:r>
            <w:r w:rsidRPr="00F06B42">
              <w:t>:</w:t>
            </w:r>
          </w:p>
          <w:p w:rsidR="00000000" w:rsidRPr="00F06B42" w:rsidP="00F06B42">
            <w:pPr>
              <w:pStyle w:val="BodyText"/>
            </w:pPr>
            <w:r w:rsidRPr="00F06B42">
              <w:t>It is critical that the candidate demonstrate the ability to:</w:t>
            </w:r>
          </w:p>
          <w:p w:rsidR="00000000" w:rsidRPr="00F06B42" w:rsidP="00F06B42">
            <w:pPr>
              <w:pStyle w:val="ListBullet"/>
            </w:pPr>
            <w:r w:rsidRPr="00F06B42">
              <w:t>Use appropriate interpersonal skills knowledge of the Agency system to guide the ADR proces</w:t>
            </w:r>
            <w:r w:rsidRPr="00F06B42">
              <w:t>s</w:t>
            </w:r>
          </w:p>
          <w:p w:rsidR="00000000" w:rsidRPr="00F06B42" w:rsidP="00F06B42">
            <w:pPr>
              <w:pStyle w:val="ListBullet"/>
            </w:pPr>
            <w:r w:rsidRPr="00F06B42">
              <w:t>Establish and maintain agreed procedures that meet the agency guidelines and the needs of the parties</w:t>
            </w:r>
          </w:p>
          <w:p w:rsidR="00000000" w:rsidRPr="00F06B42" w:rsidP="00F06B42">
            <w:pPr>
              <w:pStyle w:val="ListBullet"/>
            </w:pPr>
            <w:r w:rsidRPr="00F06B42">
              <w:t>Demonstrate fairness and lack of bias at all times</w:t>
            </w:r>
          </w:p>
          <w:p w:rsidR="00000000" w:rsidRPr="00F06B42" w:rsidP="00F06B42">
            <w:pPr>
              <w:pStyle w:val="ListBullet"/>
            </w:pPr>
            <w:r w:rsidRPr="00F06B42">
              <w:t>Apply the agency systems</w:t>
            </w:r>
          </w:p>
          <w:p w:rsidR="00000000" w:rsidRPr="00F06B42" w:rsidP="00F06B42">
            <w:pPr>
              <w:pStyle w:val="ListBullet"/>
            </w:pPr>
            <w:r w:rsidRPr="00F06B42">
              <w:t xml:space="preserve">Apply accurate understanding of own work roles and responsibilities in relation to </w:t>
            </w:r>
            <w:r w:rsidRPr="00F06B42">
              <w:t>service delivery</w:t>
            </w:r>
          </w:p>
          <w:p w:rsidR="00000000" w:rsidRPr="00F06B42" w:rsidP="00F06B42">
            <w:pPr>
              <w:pStyle w:val="BodyText"/>
            </w:pPr>
          </w:p>
          <w:p w:rsidR="00000000" w:rsidRPr="00F06B42" w:rsidP="00F06B42">
            <w:pPr>
              <w:pStyle w:val="BodyText"/>
            </w:pPr>
            <w:r w:rsidRPr="00F06B42">
              <w:t>In addition, the candidate must be able to effectively do the task outlined in elements and performance criteria of this unit, manage the task and manage c</w:t>
            </w:r>
            <w:r w:rsidRPr="00F06B42">
              <w:t>ontingencies in the context of the identified work role</w:t>
            </w:r>
          </w:p>
          <w:p w:rsidR="00000000" w:rsidRPr="00F06B42" w:rsidP="00F06B42">
            <w:pPr>
              <w:pStyle w:val="BodyText"/>
            </w:pPr>
            <w:r w:rsidRPr="00F06B42">
              <w:t>These include the ability to:</w:t>
            </w:r>
          </w:p>
          <w:p w:rsidR="00000000" w:rsidRPr="00F06B42" w:rsidP="00F06B42">
            <w:pPr>
              <w:pStyle w:val="ListBullet"/>
            </w:pPr>
            <w:r w:rsidRPr="00F06B42">
              <w:t>Assess individual cases to determine limitations of the mediation processes</w:t>
            </w:r>
          </w:p>
          <w:p w:rsidR="00000000" w:rsidRPr="00F06B42" w:rsidP="00F06B42">
            <w:pPr>
              <w:pStyle w:val="ListBullet"/>
            </w:pPr>
            <w:r w:rsidRPr="00F06B42">
              <w:t>Recognise when a mediation process is not being effective</w:t>
            </w:r>
          </w:p>
          <w:p w:rsidR="00000000" w:rsidRPr="00F06B42" w:rsidP="00F06B42">
            <w:pPr>
              <w:pStyle w:val="ListBullet"/>
            </w:pPr>
            <w:r w:rsidRPr="00F06B42">
              <w:t>Deal with non-compliance with the F</w:t>
            </w:r>
            <w:r w:rsidRPr="00F06B42">
              <w:t>amily Law Act rules and regulation procedural requirements and other legislation as appropriate</w:t>
            </w:r>
          </w:p>
          <w:p w:rsidR="00000000" w:rsidRPr="00F06B42" w:rsidP="00F06B42">
            <w:pPr>
              <w:pStyle w:val="ListBullet"/>
            </w:pPr>
            <w:r w:rsidRPr="00F06B42">
              <w:t>Ensure fairness within procedure</w:t>
            </w:r>
          </w:p>
          <w:p w:rsidR="00000000" w:rsidRPr="00F06B42" w:rsidP="00F06B42">
            <w:pPr>
              <w:pStyle w:val="ListBullet"/>
            </w:pPr>
            <w:r w:rsidRPr="00F06B42">
              <w:t>Apply criteria for exercising discretion on procedural matters, for example, consultations with individual parties, and duratio</w:t>
            </w:r>
            <w:r w:rsidRPr="00F06B42">
              <w:t>n</w:t>
            </w:r>
          </w:p>
          <w:p w:rsidR="00000000" w:rsidRPr="00F06B42" w:rsidP="00F06B42">
            <w:pPr>
              <w:pStyle w:val="ListBullet"/>
            </w:pPr>
            <w:r w:rsidRPr="00F06B42">
              <w:t>Demonstrate application of skills in:</w:t>
            </w:r>
          </w:p>
          <w:p w:rsidR="00000000" w:rsidRPr="00F06B42" w:rsidP="00F06B42">
            <w:pPr>
              <w:pStyle w:val="ListBullet2"/>
            </w:pPr>
            <w:r w:rsidRPr="00F06B42">
              <w:t>questioning and active listening that establishes client confidence and facilitates disclosure</w:t>
            </w:r>
          </w:p>
          <w:p w:rsidR="00000000" w:rsidRPr="00F06B42" w:rsidP="00F06B42">
            <w:pPr>
              <w:pStyle w:val="ListBullet2"/>
            </w:pPr>
            <w:r w:rsidRPr="00F06B42">
              <w:t xml:space="preserve">problem solving skills </w:t>
            </w:r>
          </w:p>
          <w:p w:rsidR="00000000" w:rsidRPr="00F06B42" w:rsidP="00F06B42">
            <w:pPr>
              <w:pStyle w:val="ListBullet2"/>
            </w:pPr>
            <w:r w:rsidRPr="00F06B42">
              <w:t>literacy and communication applied to analysis, evaluation and presentation of information including preparing documents and reports related to legal requirements and client needs</w:t>
            </w:r>
          </w:p>
          <w:p w:rsidR="00000000" w:rsidP="00F06B42">
            <w:pPr>
              <w:pStyle w:val="ListBullet"/>
              <w:rPr>
                <w:lang w:val="en-NZ"/>
              </w:rPr>
            </w:pPr>
            <w:r w:rsidRPr="00F06B42">
              <w:t>Maintain confidentiality and to deal effectively with breaches of confident</w:t>
            </w:r>
            <w:r w:rsidRPr="00F06B42">
              <w:t xml:space="preserve">iality especially when client </w:t>
            </w:r>
            <w:r w:rsidRPr="00F06B42">
              <w:rPr>
                <w:rStyle w:val="Emphasis"/>
              </w:rPr>
              <w:t>safety is threatened</w:t>
            </w:r>
          </w:p>
        </w:tc>
      </w:tr>
      <w:tr w:rsidTr="00EC4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B42" w:rsidP="00F06B42">
            <w:pPr>
              <w:pStyle w:val="BodyText"/>
            </w:pPr>
          </w:p>
        </w:tc>
      </w:tr>
    </w:tbl>
    <w:p w:rsidR="00EC4DA9" w:rsidP="00F06B42">
      <w:pPr>
        <w:pStyle w:val="BodyText"/>
      </w:pPr>
    </w:p>
    <w:p w:rsidR="00EC4DA9" w:rsidP="00F06B42">
      <w:pPr>
        <w:pStyle w:val="BodyText"/>
      </w:pPr>
    </w:p>
    <w:p w:rsidR="00000000" w:rsidRPr="00F06B42" w:rsidP="00F06B42">
      <w:pPr>
        <w:pStyle w:val="Heading1"/>
      </w:pPr>
      <w:bookmarkStart w:id="10" w:name="O_241936"/>
      <w:bookmarkEnd w:id="10"/>
      <w:r w:rsidRPr="00F06B42">
        <w:t>Evidence Guide</w:t>
      </w:r>
    </w:p>
    <w:tbl>
      <w:tblPr>
        <w:tblW w:w="0" w:type="auto"/>
        <w:tblLayout w:type="fixed"/>
        <w:tblCellMar>
          <w:left w:w="62" w:type="dxa"/>
          <w:right w:w="62" w:type="dxa"/>
        </w:tblCellMar>
        <w:tblLook w:val="0000"/>
      </w:tblPr>
      <w:tblGrid>
        <w:gridCol w:w="3402"/>
        <w:gridCol w:w="5670"/>
      </w:tblGrid>
      <w:tr w:rsidTr="00EC4D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EVIDENCE GUIDE</w:t>
            </w:r>
          </w:p>
        </w:tc>
      </w:tr>
      <w:tr w:rsidTr="00EC4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t xml:space="preserve">The evidence guide provides advice on assessment and must be read in conjunction with the Performance Criteria, Required Skills and Knowledge, </w:t>
            </w:r>
            <w:r w:rsidRPr="00F06B42">
              <w:t>the Range Statement and the Assessment Guidelines for this Training Package.</w:t>
            </w:r>
          </w:p>
        </w:tc>
      </w:tr>
      <w:tr w:rsidTr="00EC4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Critical aspects for assessment and evidence required to demonstrate this unit of competency</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The individual being assessed must provide evidence of specified essential knowledge as well as skills</w:t>
            </w:r>
          </w:p>
          <w:p w:rsidR="00000000" w:rsidRPr="00F06B42" w:rsidP="00F06B42">
            <w:pPr>
              <w:pStyle w:val="ListBullet"/>
            </w:pPr>
            <w:r w:rsidRPr="00F06B42">
              <w:t xml:space="preserve">Evidence of competency in this unit will need to be assessed over a period of time in order to gather evidence of consistent performance </w:t>
            </w:r>
          </w:p>
          <w:p w:rsidR="00000000" w:rsidRPr="00F06B42" w:rsidP="00F06B42">
            <w:pPr>
              <w:pStyle w:val="ListBullet"/>
            </w:pPr>
            <w:r w:rsidRPr="00F06B42">
              <w:t>This will inclu</w:t>
            </w:r>
            <w:r w:rsidRPr="00F06B42">
              <w:t>de contexts applicable to the work environment, such as actual or simulated workplace situations involving a combination of direct, indirect and supplementary forms of evidence</w:t>
            </w:r>
          </w:p>
          <w:p w:rsidR="00000000" w:rsidP="00F06B42">
            <w:pPr>
              <w:pStyle w:val="ListBullet"/>
              <w:rPr>
                <w:lang w:val="en-NZ"/>
              </w:rPr>
            </w:pPr>
            <w:r w:rsidRPr="00F06B42">
              <w:t>Evidence will be determined by selection from the Range Statement, justified in</w:t>
            </w:r>
            <w:r w:rsidRPr="00F06B42">
              <w:t xml:space="preserve"> terms of work requirements, work roles and responsibilities and occupational specialisations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Access and equity considerations</w:t>
            </w:r>
            <w:r w:rsidRPr="00F06B42">
              <w:t>:</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 xml:space="preserve">All workers in community services should be aware of access, equity and human rights </w:t>
            </w:r>
            <w:r w:rsidRPr="00F06B42">
              <w:t>issues in relation to their own area of work</w:t>
            </w:r>
          </w:p>
          <w:p w:rsidR="00000000" w:rsidRPr="00F06B42" w:rsidP="00F06B42">
            <w:pPr>
              <w:pStyle w:val="ListBullet"/>
            </w:pPr>
            <w:r w:rsidRPr="00F06B42">
              <w:t xml:space="preserve">All workers should develop their ability to work in a culturally diverse environment </w:t>
            </w:r>
          </w:p>
          <w:p w:rsidR="00000000" w:rsidRPr="00F06B42" w:rsidP="00F06B42">
            <w:pPr>
              <w:pStyle w:val="ListBullet"/>
            </w:pPr>
            <w:r w:rsidRPr="00F06B42">
              <w:t>In recognition of particular issues facing Aboriginal and Torres Strait Islander communities, workers should be aware of cult</w:t>
            </w:r>
            <w:r w:rsidRPr="00F06B42">
              <w:t>ural, historical and current issues impacting on Aboriginal and Torres Strait Islander people</w:t>
            </w:r>
          </w:p>
          <w:p w:rsidR="00000000" w:rsidP="00F06B42">
            <w:pPr>
              <w:pStyle w:val="ListBullet"/>
              <w:rPr>
                <w:lang w:val="en-NZ"/>
              </w:rPr>
            </w:pPr>
            <w:r w:rsidRPr="00F06B42">
              <w:t>Assessors and trainers must take into account relevant access and equity issues, in particular relating to factors impacting on Aboriginal and/or Torres Strait Is</w:t>
            </w:r>
            <w:r w:rsidRPr="00F06B42">
              <w:t>lander clients and communities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Context of and specific resources for assessment</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This unit can be assessed independently, however holistic assessment practice with other community services units of competency is encouraged</w:t>
            </w:r>
          </w:p>
          <w:p w:rsidR="00000000" w:rsidRPr="00F06B42" w:rsidP="00F06B42">
            <w:pPr>
              <w:pStyle w:val="ListBullet"/>
            </w:pPr>
            <w:r w:rsidRPr="00F06B42">
              <w:t>Where assessment is conduct</w:t>
            </w:r>
            <w:r w:rsidRPr="00F06B42">
              <w:t>ed within the workplace there are no resource implications above those normally available in the workplace</w:t>
            </w:r>
          </w:p>
          <w:p w:rsidR="00000000" w:rsidP="00F06B42">
            <w:pPr>
              <w:pStyle w:val="ListBullet"/>
              <w:rPr>
                <w:lang w:val="en-NZ"/>
              </w:rPr>
            </w:pPr>
            <w:r w:rsidRPr="00F06B42">
              <w:t>Where assessment is conducted in a simulated or non-workplace environment then access to the necessary equipment and research resources should be pro</w:t>
            </w:r>
            <w:r w:rsidRPr="00F06B42">
              <w:t>vided</w:t>
            </w:r>
            <w:r w:rsidRPr="00F06B42">
              <w:br/>
              <w:t>Access to simulated exercises, case studies related to mediation service delivery issues is also required if non-workplace assessment paths are utilised</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Method of assessment</w:t>
            </w:r>
            <w:r w:rsidRPr="00F06B42">
              <w:t>:</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Demonstration of competency within the working environment in preparing for the mediation process</w:t>
            </w:r>
          </w:p>
          <w:p w:rsidR="00000000" w:rsidRPr="00F06B42" w:rsidP="00F06B42">
            <w:pPr>
              <w:pStyle w:val="ListBullet"/>
            </w:pPr>
            <w:r w:rsidRPr="00F06B42">
              <w:t>Where there is not an opportunity to cover all relevant aspects in the work environment, the remainder should be assessed through realistic simulations, proje</w:t>
            </w:r>
            <w:r w:rsidRPr="00F06B42">
              <w:t>cts, previous relevant experience or oral questioning on 'what if?' Scenarios</w:t>
            </w:r>
          </w:p>
          <w:p w:rsidR="00000000" w:rsidRPr="00F06B42" w:rsidP="00F06B42">
            <w:pPr>
              <w:pStyle w:val="ListBullet"/>
            </w:pPr>
            <w:r w:rsidRPr="00F06B42">
              <w:t>Observation of processes and procedures, oral and/or written questions on Essential knowledge and skills and consideration of required attitudes</w:t>
            </w:r>
          </w:p>
          <w:p w:rsidR="00000000" w:rsidRPr="00F06B42" w:rsidP="00F06B42">
            <w:pPr>
              <w:pStyle w:val="ListBullet"/>
            </w:pPr>
            <w:r w:rsidRPr="00F06B42">
              <w:t>Where performance is not directly</w:t>
            </w:r>
            <w:r w:rsidRPr="00F06B42">
              <w:t xml:space="preserve"> observed and/or is required to be demonstrated over a period of time and/or in a number of locations, any evidence should be authenticated by colleagues, supervisors, clients or other appropriate persons</w:t>
            </w:r>
          </w:p>
          <w:p w:rsidR="00000000" w:rsidP="00F06B42">
            <w:pPr>
              <w:pStyle w:val="ListBullet"/>
              <w:rPr>
                <w:lang w:val="en-NZ"/>
              </w:rPr>
            </w:pPr>
            <w:r w:rsidRPr="00F06B42">
              <w:t>Review of any documentation produced by the candida</w:t>
            </w:r>
            <w:r w:rsidRPr="00F06B42">
              <w:t>te related to the preparation for mediation</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Related units</w:t>
            </w:r>
            <w:r w:rsidRPr="00F06B42">
              <w:t>:</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This unit should be assessed after or in conjunction with related units:</w:t>
            </w:r>
          </w:p>
          <w:p w:rsidR="00000000" w:rsidRPr="00F06B42" w:rsidP="00F06B42">
            <w:pPr>
              <w:pStyle w:val="ListBullet"/>
            </w:pPr>
            <w:r w:rsidRPr="00F06B42">
              <w:t>CHCMED418C Identify the need for alternative dispute resolution</w:t>
            </w:r>
          </w:p>
          <w:p w:rsidR="00000000" w:rsidP="00F06B42">
            <w:pPr>
              <w:pStyle w:val="ListBullet"/>
              <w:rPr>
                <w:lang w:val="en-NZ"/>
              </w:rPr>
            </w:pPr>
            <w:r w:rsidRPr="00F06B42">
              <w:t>CHCCOM403A Use targeted communication skills to build relationships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BodyText"/>
            </w:pPr>
          </w:p>
        </w:tc>
      </w:tr>
    </w:tbl>
    <w:p w:rsidR="00EC4DA9" w:rsidP="00F06B42">
      <w:pPr>
        <w:pStyle w:val="BodyText"/>
      </w:pPr>
    </w:p>
    <w:p w:rsidR="00EC4DA9" w:rsidP="00F06B42">
      <w:pPr>
        <w:pStyle w:val="BodyText"/>
      </w:pPr>
    </w:p>
    <w:p w:rsidR="00000000" w:rsidRPr="00F06B42" w:rsidP="00F06B42">
      <w:pPr>
        <w:pStyle w:val="Heading1"/>
      </w:pPr>
      <w:bookmarkStart w:id="11" w:name="O_249919"/>
      <w:bookmarkEnd w:id="11"/>
      <w:r w:rsidRPr="00F06B42">
        <w:t>Range Statement</w:t>
      </w:r>
    </w:p>
    <w:tbl>
      <w:tblPr>
        <w:tblW w:w="0" w:type="auto"/>
        <w:tblLayout w:type="fixed"/>
        <w:tblCellMar>
          <w:left w:w="62" w:type="dxa"/>
          <w:right w:w="62" w:type="dxa"/>
        </w:tblCellMar>
        <w:tblLook w:val="0000"/>
      </w:tblPr>
      <w:tblGrid>
        <w:gridCol w:w="3402"/>
        <w:gridCol w:w="5670"/>
      </w:tblGrid>
      <w:tr w:rsidTr="00EC4D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SpecialBold"/>
              </w:rPr>
              <w:t>RANGE STATEMENT</w:t>
            </w:r>
          </w:p>
        </w:tc>
      </w:tr>
      <w:tr w:rsidTr="00EC4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t>The Range Statement relates to the unit of competency as a whole. It allows for different work environments and situations that may affect performance. Add any essential operating conditions that may be present with training and assessment depending on the</w:t>
            </w:r>
            <w:r w:rsidRPr="00F06B42">
              <w:t xml:space="preserve"> work situation, needs of the candidate, accessibility of the item, and local industry and regional contexts.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Knowledge refers to</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P="00F06B42">
            <w:pPr>
              <w:pStyle w:val="ListBullet"/>
              <w:rPr>
                <w:lang w:val="en-NZ"/>
              </w:rPr>
            </w:pPr>
            <w:r w:rsidRPr="00F06B42">
              <w:t xml:space="preserve">The understanding of relevant theories, principles, practices their application </w:t>
            </w:r>
            <w:r w:rsidRPr="00F06B42">
              <w:t>and other aspects of knowledge, which may be desirable or necessary in order to practice effectively an ADR process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Alternative Dispute Resolution</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ADR refers to processes, other than judicial determination, in which an impartial person (an ADR practi</w:t>
            </w:r>
            <w:r w:rsidRPr="00F06B42">
              <w:t>tioner) assists those in a dispute to resolve the issues between them.</w:t>
            </w:r>
          </w:p>
          <w:p w:rsidR="00000000" w:rsidRPr="00F06B42" w:rsidP="00F06B42">
            <w:pPr>
              <w:pStyle w:val="ListBullet"/>
            </w:pPr>
            <w:r w:rsidRPr="00F06B42">
              <w:t xml:space="preserve">ADR processes may be </w:t>
            </w:r>
            <w:r w:rsidRPr="00F06B42">
              <w:rPr>
                <w:rStyle w:val="Emphasis"/>
              </w:rPr>
              <w:t>facilitative</w:t>
            </w:r>
            <w:r w:rsidRPr="00F06B42">
              <w:t xml:space="preserve">, </w:t>
            </w:r>
            <w:r w:rsidRPr="00F06B42">
              <w:rPr>
                <w:rStyle w:val="Emphasis"/>
              </w:rPr>
              <w:t>advisory</w:t>
            </w:r>
            <w:r w:rsidRPr="00F06B42">
              <w:t xml:space="preserve">, </w:t>
            </w:r>
            <w:r w:rsidRPr="00F06B42">
              <w:rPr>
                <w:rStyle w:val="Emphasis"/>
              </w:rPr>
              <w:t>determinative or</w:t>
            </w:r>
            <w:r w:rsidRPr="00F06B42">
              <w:t>, in some cases, a combination of these</w:t>
            </w:r>
          </w:p>
          <w:p w:rsidR="00000000" w:rsidP="00F06B42">
            <w:pPr>
              <w:pStyle w:val="ListBullet"/>
              <w:rPr>
                <w:lang w:val="en-NZ"/>
              </w:rPr>
            </w:pPr>
            <w:r w:rsidRPr="00F06B42">
              <w:t>ADR may be used for different categories of dispute, for example, family and child m</w:t>
            </w:r>
            <w:r w:rsidRPr="00F06B42">
              <w:t>ediation, community mediation, victim-offender mediation, equal opportunity conciliation, workers' compensation conciliation, tenancy conciliation or commercial arbitration</w:t>
            </w:r>
            <w:r w:rsidRPr="00F06B42">
              <w:br/>
              <w:t>Multi-party mediation may involve several parties or groups of parties.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Statuto</w:t>
            </w:r>
            <w:r w:rsidRPr="00F06B42">
              <w:rPr>
                <w:rStyle w:val="Emphasis"/>
              </w:rPr>
              <w:t>ry and procedural requirements may include</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 xml:space="preserve">Family Law Act </w:t>
            </w:r>
          </w:p>
          <w:p w:rsidR="00000000" w:rsidRPr="00F06B42" w:rsidP="00F06B42">
            <w:pPr>
              <w:pStyle w:val="ListBullet"/>
            </w:pPr>
            <w:r w:rsidRPr="00F06B42">
              <w:t>Property law (for de facto disputes)</w:t>
            </w:r>
          </w:p>
          <w:p w:rsidR="00000000" w:rsidRPr="00F06B42" w:rsidP="00F06B42">
            <w:pPr>
              <w:pStyle w:val="ListBullet"/>
            </w:pPr>
            <w:r w:rsidRPr="00F06B42">
              <w:t xml:space="preserve">Superannuation </w:t>
            </w:r>
          </w:p>
          <w:p w:rsidR="00000000" w:rsidRPr="00F06B42" w:rsidP="00F06B42">
            <w:pPr>
              <w:pStyle w:val="ListBullet"/>
            </w:pPr>
            <w:r w:rsidRPr="00F06B42">
              <w:t>Procedures for accessing specialist advice</w:t>
            </w:r>
          </w:p>
          <w:p w:rsidR="00000000" w:rsidRPr="00F06B42" w:rsidP="00F06B42">
            <w:pPr>
              <w:pStyle w:val="ListBullet"/>
            </w:pPr>
            <w:r w:rsidRPr="00F06B42">
              <w:t>Procedures for individual consultations</w:t>
            </w:r>
          </w:p>
          <w:p w:rsidR="00000000" w:rsidP="00F06B42">
            <w:pPr>
              <w:pStyle w:val="ListBullet"/>
              <w:rPr>
                <w:lang w:val="en-NZ"/>
              </w:rPr>
            </w:pPr>
            <w:r w:rsidRPr="00F06B42">
              <w:t>Procedures for community consultation</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Alternative dispute resolution process refers to</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BodyText"/>
            </w:pPr>
            <w:r w:rsidRPr="00F06B42">
              <w:t>Knowledge of the procedures and requirements for dispute resolution within the Agency:</w:t>
            </w:r>
          </w:p>
          <w:p w:rsidR="00000000" w:rsidRPr="00F06B42" w:rsidP="00F06B42">
            <w:pPr>
              <w:pStyle w:val="ListBullet"/>
            </w:pPr>
            <w:r w:rsidRPr="00F06B42">
              <w:t>The theory, systems and methods of dispute resolution processes:</w:t>
            </w:r>
          </w:p>
          <w:p w:rsidR="00000000" w:rsidRPr="00F06B42" w:rsidP="00F06B42">
            <w:pPr>
              <w:pStyle w:val="ListBullet2"/>
            </w:pPr>
            <w:r w:rsidRPr="00F06B42">
              <w:t xml:space="preserve">the management and conduct of a dispute resolution </w:t>
            </w:r>
            <w:r w:rsidRPr="00F06B42">
              <w:t>process</w:t>
            </w:r>
          </w:p>
          <w:p w:rsidR="00000000" w:rsidRPr="00F06B42" w:rsidP="00F06B42">
            <w:pPr>
              <w:pStyle w:val="ListBullet2"/>
            </w:pPr>
            <w:r w:rsidRPr="00F06B42">
              <w:t>stages of a dispute resolution process, and how they can be used most effectively</w:t>
            </w:r>
          </w:p>
          <w:p w:rsidR="00000000" w:rsidRPr="00F06B42" w:rsidP="00F06B42">
            <w:pPr>
              <w:pStyle w:val="ListBullet2"/>
            </w:pPr>
            <w:r w:rsidRPr="00F06B42">
              <w:t>assessment of individual cases to determine limitations of the ADR processes</w:t>
            </w:r>
          </w:p>
          <w:p w:rsidR="00000000" w:rsidRPr="00F06B42" w:rsidP="00F06B42">
            <w:pPr>
              <w:pStyle w:val="ListBullet2"/>
            </w:pPr>
            <w:r w:rsidRPr="00F06B42">
              <w:t>recognition of when an ADR process is not effective</w:t>
            </w:r>
          </w:p>
          <w:p w:rsidR="00000000" w:rsidRPr="00F06B42" w:rsidP="00F06B42">
            <w:pPr>
              <w:pStyle w:val="ListBullet2"/>
            </w:pPr>
            <w:r w:rsidRPr="00F06B42">
              <w:t>how to deal with non-compliance with the family law act rules and regulation procedural requirements</w:t>
            </w:r>
          </w:p>
          <w:p w:rsidR="00000000" w:rsidRPr="00F06B42" w:rsidP="00F06B42">
            <w:pPr>
              <w:pStyle w:val="ListBullet2"/>
            </w:pPr>
            <w:r w:rsidRPr="00F06B42">
              <w:t>how to ensure fairness within procedure</w:t>
            </w:r>
          </w:p>
          <w:p w:rsidR="00000000" w:rsidRPr="00F06B42" w:rsidP="00F06B42">
            <w:pPr>
              <w:pStyle w:val="ListBullet2"/>
            </w:pPr>
            <w:r w:rsidRPr="00F06B42">
              <w:t>criteria for exercising discretion on procedural matters, for example, consultations with individual parties, and d</w:t>
            </w:r>
            <w:r w:rsidRPr="00F06B42">
              <w:t>uration</w:t>
            </w:r>
          </w:p>
          <w:p w:rsidR="00000000" w:rsidRPr="00F06B42" w:rsidP="00F06B42">
            <w:pPr>
              <w:pStyle w:val="ListBullet2"/>
            </w:pPr>
            <w:r w:rsidRPr="00F06B42">
              <w:t xml:space="preserve">how to identify who may be significant others and how to manage their appropriate involvement </w:t>
            </w:r>
          </w:p>
          <w:p w:rsidR="00000000" w:rsidP="00F06B42">
            <w:pPr>
              <w:pStyle w:val="ListBullet2"/>
              <w:rPr>
                <w:lang w:val="en-NZ"/>
              </w:rPr>
            </w:pPr>
            <w:r w:rsidRPr="00F06B42">
              <w:t>how to enable parties to consider all relevant information and work towards their own decisions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B42">
            <w:pPr>
              <w:pStyle w:val="BodyText"/>
              <w:rPr>
                <w:lang w:val="en-NZ"/>
              </w:rPr>
            </w:pPr>
            <w:r w:rsidRPr="00F06B42">
              <w:rPr>
                <w:rStyle w:val="Emphasis"/>
              </w:rPr>
              <w:t>Parties may include</w:t>
            </w:r>
            <w:r w:rsidRPr="00F06B42">
              <w:t xml:space="preserve">:  </w:t>
            </w: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ListBullet"/>
            </w:pPr>
            <w:r w:rsidRPr="00F06B42">
              <w:t>Individuals (including childr</w:t>
            </w:r>
            <w:r w:rsidRPr="00F06B42">
              <w:t>en, youth, adults and the aged)</w:t>
            </w:r>
          </w:p>
          <w:p w:rsidR="00000000" w:rsidRPr="00F06B42" w:rsidP="00F06B42">
            <w:pPr>
              <w:pStyle w:val="ListBullet"/>
            </w:pPr>
            <w:r w:rsidRPr="00F06B42">
              <w:t>Referred or self-referred clients</w:t>
            </w:r>
          </w:p>
          <w:p w:rsidR="00000000" w:rsidP="00F06B42">
            <w:pPr>
              <w:pStyle w:val="ListBullet"/>
              <w:rPr>
                <w:lang w:val="en-NZ"/>
              </w:rPr>
            </w:pPr>
            <w:r w:rsidRPr="00F06B42">
              <w:t>Voluntary and involuntary clients</w:t>
            </w:r>
          </w:p>
        </w:tc>
      </w:tr>
      <w:tr w:rsidTr="00EC4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6B42" w:rsidP="00F06B42">
            <w:pPr>
              <w:pStyle w:val="BodyText"/>
            </w:pPr>
          </w:p>
        </w:tc>
      </w:tr>
    </w:tbl>
    <w:p w:rsidR="00EC4DA9" w:rsidP="00F06B42">
      <w:pPr>
        <w:pStyle w:val="BodyText"/>
      </w:pPr>
    </w:p>
    <w:p w:rsidR="00EC4DA9" w:rsidP="00F06B42">
      <w:pPr>
        <w:pStyle w:val="BodyText"/>
      </w:pPr>
    </w:p>
    <w:p w:rsidR="00000000" w:rsidRPr="00F06B42" w:rsidP="00F06B42">
      <w:pPr>
        <w:pStyle w:val="Heading1"/>
      </w:pPr>
      <w:bookmarkStart w:id="12" w:name="O_294224"/>
      <w:bookmarkEnd w:id="12"/>
      <w:r w:rsidRPr="00F06B42">
        <w:t>Unit Sector(s)</w:t>
      </w:r>
    </w:p>
    <w:p w:rsidR="00000000" w:rsidRPr="00F06B42" w:rsidP="00F06B42">
      <w:pPr>
        <w:pStyle w:val="BodyText"/>
      </w:pPr>
      <w:r w:rsidRPr="00F06B42">
        <w:t>Not Applicable</w:t>
      </w:r>
    </w:p>
    <w:p w:rsidR="00000000" w:rsidRPr="00F06B42" w:rsidP="00F06B42"/>
    <w:sectPr w:rsidSect="00F06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DA9" w:rsidP="00EC4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A9" w:rsidP="00F06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4DA9" w:rsidP="00F06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4DA9" w:rsidP="00F06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DA9" w:rsidP="00EC4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A9" w:rsidP="00F06B42">
    <w:pPr>
      <w:pStyle w:val="Header"/>
      <w:framePr w:wrap="around"/>
    </w:pPr>
    <w:r>
      <w:fldChar w:fldCharType="begin"/>
    </w:r>
    <w:r>
      <w:instrText xml:space="preserve"> TITLE   \* MERGEFORMAT </w:instrText>
    </w:r>
    <w:r>
      <w:fldChar w:fldCharType="separate"/>
    </w:r>
    <w:r>
      <w:t>CHCMED419C Facilitate alternative dispute resolution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4DA9" w:rsidP="00F06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49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41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ED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B42"/>
    <w:pPr>
      <w:spacing w:before="360" w:after="60"/>
      <w:outlineLvl w:val="0"/>
    </w:pPr>
    <w:rPr>
      <w:sz w:val="32"/>
    </w:rPr>
  </w:style>
  <w:style w:type="paragraph" w:styleId="Heading2">
    <w:name w:val="heading 2"/>
    <w:basedOn w:val="HeadingBase"/>
    <w:next w:val="BodyText"/>
    <w:link w:val="Heading2Char"/>
    <w:qFormat/>
    <w:rsid w:val="00F06B42"/>
    <w:pPr>
      <w:keepLines/>
      <w:spacing w:before="240" w:after="120"/>
      <w:outlineLvl w:val="1"/>
    </w:pPr>
    <w:rPr>
      <w:sz w:val="28"/>
      <w:szCs w:val="40"/>
    </w:rPr>
  </w:style>
  <w:style w:type="paragraph" w:styleId="Heading3">
    <w:name w:val="heading 3"/>
    <w:basedOn w:val="HeadingBase"/>
    <w:next w:val="BodyText"/>
    <w:link w:val="Heading3Char"/>
    <w:qFormat/>
    <w:rsid w:val="00F06B42"/>
    <w:pPr>
      <w:spacing w:before="180" w:after="120"/>
      <w:outlineLvl w:val="2"/>
    </w:pPr>
    <w:rPr>
      <w:spacing w:val="-10"/>
      <w:kern w:val="32"/>
    </w:rPr>
  </w:style>
  <w:style w:type="paragraph" w:styleId="Heading4">
    <w:name w:val="heading 4"/>
    <w:basedOn w:val="HeadingBase"/>
    <w:next w:val="BodyText"/>
    <w:link w:val="Heading4Char"/>
    <w:qFormat/>
    <w:rsid w:val="00F06B42"/>
    <w:pPr>
      <w:spacing w:before="160" w:after="120"/>
      <w:outlineLvl w:val="3"/>
    </w:pPr>
    <w:rPr>
      <w:sz w:val="22"/>
    </w:rPr>
  </w:style>
  <w:style w:type="paragraph" w:styleId="Heading5">
    <w:name w:val="heading 5"/>
    <w:basedOn w:val="HeadingBase"/>
    <w:next w:val="Normal"/>
    <w:link w:val="Heading5Char"/>
    <w:qFormat/>
    <w:rsid w:val="00F06B42"/>
    <w:pPr>
      <w:spacing w:before="80"/>
      <w:outlineLvl w:val="4"/>
    </w:pPr>
    <w:rPr>
      <w:color w:val="918585"/>
      <w:sz w:val="20"/>
    </w:rPr>
  </w:style>
  <w:style w:type="paragraph" w:styleId="Heading6">
    <w:name w:val="heading 6"/>
    <w:basedOn w:val="HeadingBase"/>
    <w:next w:val="Normal"/>
    <w:link w:val="Heading6Char"/>
    <w:qFormat/>
    <w:rsid w:val="00F06B42"/>
    <w:pPr>
      <w:spacing w:before="60"/>
      <w:outlineLvl w:val="5"/>
    </w:pPr>
    <w:rPr>
      <w:color w:val="918585"/>
      <w:sz w:val="20"/>
    </w:rPr>
  </w:style>
  <w:style w:type="paragraph" w:styleId="Heading7">
    <w:name w:val="heading 7"/>
    <w:basedOn w:val="Normal"/>
    <w:next w:val="Normal"/>
    <w:link w:val="Heading7Char"/>
    <w:qFormat/>
    <w:rsid w:val="00F06B42"/>
    <w:pPr>
      <w:ind w:left="720"/>
      <w:outlineLvl w:val="6"/>
    </w:pPr>
    <w:rPr>
      <w:i/>
    </w:rPr>
  </w:style>
  <w:style w:type="paragraph" w:styleId="Heading8">
    <w:name w:val="heading 8"/>
    <w:basedOn w:val="Normal"/>
    <w:next w:val="Normal"/>
    <w:link w:val="Heading8Char"/>
    <w:qFormat/>
    <w:rsid w:val="00F06B42"/>
    <w:pPr>
      <w:ind w:left="720"/>
      <w:outlineLvl w:val="7"/>
    </w:pPr>
    <w:rPr>
      <w:i/>
    </w:rPr>
  </w:style>
  <w:style w:type="paragraph" w:styleId="Heading9">
    <w:name w:val="heading 9"/>
    <w:basedOn w:val="Normal"/>
    <w:next w:val="Normal"/>
    <w:link w:val="Heading9Char"/>
    <w:qFormat/>
    <w:rsid w:val="00F06B42"/>
    <w:pPr>
      <w:ind w:left="720"/>
      <w:outlineLvl w:val="8"/>
    </w:pPr>
    <w:rPr>
      <w:i/>
    </w:rPr>
  </w:style>
  <w:style w:type="character" w:default="1" w:styleId="DefaultParagraphFont">
    <w:name w:val="Default Paragraph Font"/>
    <w:uiPriority w:val="1"/>
    <w:unhideWhenUsed/>
    <w:rsid w:val="00F06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B42"/>
  </w:style>
  <w:style w:type="character" w:customStyle="1" w:styleId="Heading1Char">
    <w:name w:val="Heading 1 Char"/>
    <w:basedOn w:val="DefaultParagraphFont"/>
    <w:link w:val="Heading1"/>
    <w:rsid w:val="00F06B42"/>
    <w:rPr>
      <w:rFonts w:ascii="Times New Roman" w:eastAsia="Times New Roman" w:hAnsi="Times New Roman" w:cs="Times New Roman"/>
      <w:b/>
      <w:sz w:val="32"/>
      <w:szCs w:val="20"/>
      <w:lang w:eastAsia="en-US"/>
    </w:rPr>
  </w:style>
  <w:style w:type="paragraph" w:styleId="BodyText">
    <w:name w:val="Body Text"/>
    <w:basedOn w:val="Normal"/>
    <w:link w:val="BodyTextChar"/>
    <w:rsid w:val="00F06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B42"/>
    <w:rPr>
      <w:rFonts w:ascii="Times New Roman" w:eastAsia="Times New Roman" w:hAnsi="Times New Roman" w:cs="Times New Roman"/>
      <w:sz w:val="24"/>
      <w:lang w:val="en-US" w:eastAsia="en-US"/>
    </w:rPr>
  </w:style>
  <w:style w:type="paragraph" w:styleId="Footer">
    <w:name w:val="footer"/>
    <w:basedOn w:val="Normal"/>
    <w:link w:val="FooterChar"/>
    <w:rsid w:val="00F06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B42"/>
    <w:rPr>
      <w:rFonts w:ascii="Times New Roman" w:eastAsia="Times New Roman" w:hAnsi="Times New Roman" w:cs="Times New Roman"/>
      <w:sz w:val="16"/>
      <w:lang w:val="en-US" w:eastAsia="en-US"/>
    </w:rPr>
  </w:style>
  <w:style w:type="paragraph" w:styleId="List">
    <w:name w:val="List"/>
    <w:basedOn w:val="BodyText"/>
    <w:next w:val="BodyText"/>
    <w:rsid w:val="00F06B42"/>
    <w:pPr>
      <w:tabs>
        <w:tab w:val="left" w:pos="340"/>
      </w:tabs>
      <w:spacing w:before="60" w:after="60"/>
      <w:ind w:left="340" w:hanging="340"/>
    </w:pPr>
  </w:style>
  <w:style w:type="paragraph" w:styleId="ListBullet">
    <w:name w:val="List Bullet"/>
    <w:basedOn w:val="List"/>
    <w:rsid w:val="00F06B42"/>
    <w:pPr>
      <w:numPr>
        <w:numId w:val="13"/>
      </w:numPr>
      <w:tabs>
        <w:tab w:val="clear" w:pos="340"/>
      </w:tabs>
      <w:spacing w:before="40" w:after="40"/>
    </w:pPr>
  </w:style>
  <w:style w:type="character" w:customStyle="1" w:styleId="SpecialBold">
    <w:name w:val="Special Bold"/>
    <w:basedOn w:val="DefaultParagraphFont"/>
    <w:rsid w:val="00F06B42"/>
    <w:rPr>
      <w:b/>
      <w:spacing w:val="0"/>
    </w:rPr>
  </w:style>
  <w:style w:type="paragraph" w:styleId="ListBullet2">
    <w:name w:val="List Bullet 2"/>
    <w:basedOn w:val="List2"/>
    <w:rsid w:val="00F06B42"/>
    <w:pPr>
      <w:numPr>
        <w:numId w:val="14"/>
      </w:numPr>
      <w:tabs>
        <w:tab w:val="clear" w:pos="680"/>
      </w:tabs>
    </w:pPr>
  </w:style>
  <w:style w:type="paragraph" w:styleId="Header">
    <w:name w:val="header"/>
    <w:basedOn w:val="Normal"/>
    <w:link w:val="HeaderChar"/>
    <w:rsid w:val="00F06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B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6B42"/>
    <w:rPr>
      <w:i/>
    </w:rPr>
  </w:style>
  <w:style w:type="paragraph" w:customStyle="1" w:styleId="SuperHeading">
    <w:name w:val="SuperHeading"/>
    <w:basedOn w:val="Normal"/>
    <w:rsid w:val="00F06B42"/>
    <w:pPr>
      <w:spacing w:before="240" w:after="120"/>
      <w:outlineLvl w:val="0"/>
    </w:pPr>
    <w:rPr>
      <w:rFonts w:ascii="Times New Roman" w:hAnsi="Times New Roman"/>
      <w:b/>
      <w:sz w:val="28"/>
    </w:rPr>
  </w:style>
  <w:style w:type="paragraph" w:customStyle="1" w:styleId="AllowPageBreak">
    <w:name w:val="AllowPageBreak"/>
    <w:rsid w:val="00F06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B42"/>
    <w:rPr>
      <w:rFonts w:ascii="Courier New" w:eastAsia="Times New Roman" w:hAnsi="Courier New" w:cs="Times New Roman"/>
      <w:i/>
      <w:szCs w:val="20"/>
      <w:lang w:val="en-US" w:eastAsia="en-US"/>
    </w:rPr>
  </w:style>
  <w:style w:type="paragraph" w:customStyle="1" w:styleId="HeadingBase">
    <w:name w:val="Heading Base"/>
    <w:rsid w:val="00F06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B42"/>
    <w:pPr>
      <w:tabs>
        <w:tab w:val="right" w:leader="dot" w:pos="9072"/>
      </w:tabs>
      <w:ind w:left="567"/>
    </w:pPr>
    <w:rPr>
      <w:szCs w:val="22"/>
    </w:rPr>
  </w:style>
  <w:style w:type="paragraph" w:customStyle="1" w:styleId="TOCBase">
    <w:name w:val="TOC Base"/>
    <w:rsid w:val="00F06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B42"/>
    <w:pPr>
      <w:tabs>
        <w:tab w:val="right" w:leader="dot" w:pos="9072"/>
      </w:tabs>
      <w:spacing w:before="40" w:after="40"/>
      <w:ind w:left="284"/>
    </w:pPr>
    <w:rPr>
      <w:rFonts w:ascii="Times New Roman" w:hAnsi="Times New Roman"/>
    </w:rPr>
  </w:style>
  <w:style w:type="paragraph" w:styleId="TOC1">
    <w:name w:val="toc 1"/>
    <w:basedOn w:val="TOCBase"/>
    <w:next w:val="Normal"/>
    <w:rsid w:val="00F06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B42"/>
    <w:pPr>
      <w:spacing w:before="5040"/>
      <w:jc w:val="center"/>
    </w:pPr>
    <w:rPr>
      <w:sz w:val="48"/>
      <w:szCs w:val="72"/>
      <w:lang w:val="en-US"/>
    </w:rPr>
  </w:style>
  <w:style w:type="character" w:customStyle="1" w:styleId="TitleChar">
    <w:name w:val="Title Char"/>
    <w:basedOn w:val="DefaultParagraphFont"/>
    <w:link w:val="Title"/>
    <w:rsid w:val="00F06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B42"/>
    <w:pPr>
      <w:tabs>
        <w:tab w:val="left" w:pos="3600"/>
        <w:tab w:val="left" w:pos="3958"/>
      </w:tabs>
    </w:pPr>
  </w:style>
  <w:style w:type="paragraph" w:customStyle="1" w:styleId="Note">
    <w:name w:val="Note"/>
    <w:basedOn w:val="BodyText"/>
    <w:rsid w:val="00F06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B42"/>
    <w:pPr>
      <w:framePr w:wrap="auto" w:hAnchor="text" w:y="6049"/>
    </w:pPr>
    <w:rPr>
      <w:color w:val="000000"/>
      <w:sz w:val="40"/>
    </w:rPr>
  </w:style>
  <w:style w:type="paragraph" w:customStyle="1" w:styleId="TOCTitle">
    <w:name w:val="TOCTitle"/>
    <w:basedOn w:val="Heading1"/>
    <w:rsid w:val="00F06B42"/>
    <w:pPr>
      <w:spacing w:after="240"/>
      <w:jc w:val="center"/>
      <w:outlineLvl w:val="9"/>
    </w:pPr>
    <w:rPr>
      <w:caps/>
    </w:rPr>
  </w:style>
  <w:style w:type="paragraph" w:customStyle="1" w:styleId="Version">
    <w:name w:val="Version"/>
    <w:rsid w:val="00F06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B42"/>
    <w:pPr>
      <w:keepNext w:val="0"/>
      <w:tabs>
        <w:tab w:val="right" w:pos="4176"/>
      </w:tabs>
      <w:ind w:left="198" w:hanging="198"/>
    </w:pPr>
    <w:rPr>
      <w:rFonts w:ascii="Garamond" w:hAnsi="Garamond"/>
    </w:rPr>
  </w:style>
  <w:style w:type="paragraph" w:styleId="IndexHeading">
    <w:name w:val="index heading"/>
    <w:basedOn w:val="Normal"/>
    <w:next w:val="Index1"/>
    <w:semiHidden/>
    <w:rsid w:val="00F06B42"/>
    <w:pPr>
      <w:spacing w:before="120" w:after="120"/>
    </w:pPr>
    <w:rPr>
      <w:rFonts w:ascii="Arial" w:hAnsi="Arial"/>
      <w:b/>
      <w:color w:val="918585"/>
      <w:sz w:val="24"/>
    </w:rPr>
  </w:style>
  <w:style w:type="paragraph" w:customStyle="1" w:styleId="Chapter">
    <w:name w:val="Chapter"/>
    <w:basedOn w:val="Normal"/>
    <w:rsid w:val="00F06B42"/>
    <w:pPr>
      <w:spacing w:before="240"/>
    </w:pPr>
    <w:rPr>
      <w:rFonts w:ascii="Times New Roman" w:hAnsi="Times New Roman"/>
      <w:smallCaps/>
      <w:spacing w:val="80"/>
      <w:sz w:val="28"/>
    </w:rPr>
  </w:style>
  <w:style w:type="paragraph" w:customStyle="1" w:styleId="InChapter">
    <w:name w:val="InChapter"/>
    <w:basedOn w:val="Heading3"/>
    <w:rsid w:val="00F06B42"/>
    <w:pPr>
      <w:spacing w:after="240"/>
      <w:outlineLvl w:val="9"/>
    </w:pPr>
    <w:rPr>
      <w:noProof/>
    </w:rPr>
  </w:style>
  <w:style w:type="paragraph" w:styleId="Index2">
    <w:name w:val="index 2"/>
    <w:basedOn w:val="Normal"/>
    <w:next w:val="Normal"/>
    <w:semiHidden/>
    <w:rsid w:val="00F06B42"/>
    <w:pPr>
      <w:tabs>
        <w:tab w:val="right" w:pos="4176"/>
      </w:tabs>
      <w:ind w:left="568" w:hanging="284"/>
    </w:pPr>
    <w:rPr>
      <w:rFonts w:ascii="Garamond" w:hAnsi="Garamond"/>
    </w:rPr>
  </w:style>
  <w:style w:type="paragraph" w:customStyle="1" w:styleId="Byline">
    <w:name w:val="Byline"/>
    <w:rsid w:val="00F06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B42"/>
    <w:pPr>
      <w:tabs>
        <w:tab w:val="clear" w:pos="3600"/>
        <w:tab w:val="clear" w:pos="3958"/>
      </w:tabs>
      <w:jc w:val="right"/>
    </w:pPr>
  </w:style>
  <w:style w:type="paragraph" w:styleId="Caption">
    <w:name w:val="caption"/>
    <w:basedOn w:val="BodyText"/>
    <w:next w:val="Normal"/>
    <w:qFormat/>
    <w:rsid w:val="00F06B42"/>
    <w:pPr>
      <w:framePr w:w="2268" w:hSpace="181" w:vSpace="181" w:wrap="around" w:vAnchor="text" w:hAnchor="page" w:x="1135" w:y="285" w:anchorLock="1"/>
    </w:pPr>
    <w:rPr>
      <w:i/>
    </w:rPr>
  </w:style>
  <w:style w:type="paragraph" w:customStyle="1" w:styleId="MiniTOCTitle">
    <w:name w:val="MiniTOCTitle"/>
    <w:basedOn w:val="Heading4"/>
    <w:rsid w:val="00F06B42"/>
    <w:pPr>
      <w:spacing w:before="240"/>
      <w:outlineLvl w:val="9"/>
    </w:pPr>
    <w:rPr>
      <w:noProof/>
      <w:sz w:val="24"/>
    </w:rPr>
  </w:style>
  <w:style w:type="paragraph" w:customStyle="1" w:styleId="MiniTOCItem">
    <w:name w:val="MiniTOCItem"/>
    <w:basedOn w:val="ListBullet"/>
    <w:rsid w:val="00F06B42"/>
    <w:pPr>
      <w:numPr>
        <w:numId w:val="0"/>
      </w:numPr>
      <w:tabs>
        <w:tab w:val="right" w:leader="dot" w:pos="6521"/>
      </w:tabs>
      <w:spacing w:before="0" w:after="0"/>
    </w:pPr>
  </w:style>
  <w:style w:type="paragraph" w:customStyle="1" w:styleId="TOFTitle">
    <w:name w:val="TOFTitle"/>
    <w:basedOn w:val="TOCTitle"/>
    <w:rsid w:val="00F06B42"/>
  </w:style>
  <w:style w:type="paragraph" w:styleId="TableofFigures">
    <w:name w:val="table of figures"/>
    <w:basedOn w:val="Normal"/>
    <w:next w:val="Normal"/>
    <w:semiHidden/>
    <w:rsid w:val="00F06B42"/>
    <w:pPr>
      <w:tabs>
        <w:tab w:val="right" w:leader="dot" w:pos="9072"/>
      </w:tabs>
      <w:ind w:left="970" w:hanging="403"/>
    </w:pPr>
    <w:rPr>
      <w:rFonts w:ascii="Times New Roman" w:hAnsi="Times New Roman"/>
      <w:b/>
    </w:rPr>
  </w:style>
  <w:style w:type="paragraph" w:styleId="ListNumber">
    <w:name w:val="List Number"/>
    <w:basedOn w:val="List"/>
    <w:rsid w:val="00F06B42"/>
    <w:pPr>
      <w:numPr>
        <w:numId w:val="11"/>
      </w:numPr>
    </w:pPr>
  </w:style>
  <w:style w:type="character" w:customStyle="1" w:styleId="WingdingSymbols">
    <w:name w:val="Wingding Symbols"/>
    <w:rsid w:val="00F06B42"/>
    <w:rPr>
      <w:rFonts w:ascii="Wingdings" w:hAnsi="Wingdings"/>
    </w:rPr>
  </w:style>
  <w:style w:type="paragraph" w:customStyle="1" w:styleId="TableHeading">
    <w:name w:val="Table Heading"/>
    <w:basedOn w:val="HeadingBase"/>
    <w:rsid w:val="00F06B42"/>
    <w:pPr>
      <w:keepLines/>
      <w:pBdr>
        <w:bottom w:val="single" w:sz="6" w:space="1" w:color="918585"/>
      </w:pBdr>
      <w:spacing w:before="240"/>
    </w:pPr>
  </w:style>
  <w:style w:type="character" w:customStyle="1" w:styleId="HotSpot">
    <w:name w:val="HotSpot"/>
    <w:rsid w:val="00F06B42"/>
    <w:rPr>
      <w:color w:val="0033CC"/>
      <w:u w:val="none"/>
    </w:rPr>
  </w:style>
  <w:style w:type="paragraph" w:customStyle="1" w:styleId="BodyTextRight">
    <w:name w:val="Body Text Right"/>
    <w:basedOn w:val="BodyText"/>
    <w:rsid w:val="00F06B42"/>
    <w:pPr>
      <w:spacing w:before="0" w:after="0"/>
      <w:jc w:val="right"/>
    </w:pPr>
  </w:style>
  <w:style w:type="paragraph" w:styleId="Index3">
    <w:name w:val="index 3"/>
    <w:basedOn w:val="ListNumber2"/>
    <w:next w:val="Normal"/>
    <w:semiHidden/>
    <w:rsid w:val="00F06B42"/>
    <w:pPr>
      <w:numPr>
        <w:numId w:val="0"/>
      </w:numPr>
      <w:tabs>
        <w:tab w:val="right" w:leader="dot" w:pos="4176"/>
      </w:tabs>
    </w:pPr>
  </w:style>
  <w:style w:type="paragraph" w:styleId="ListNumber2">
    <w:name w:val="List Number 2"/>
    <w:basedOn w:val="List2"/>
    <w:rsid w:val="00F06B42"/>
    <w:pPr>
      <w:numPr>
        <w:numId w:val="10"/>
      </w:numPr>
      <w:tabs>
        <w:tab w:val="clear" w:pos="1060"/>
      </w:tabs>
    </w:pPr>
  </w:style>
  <w:style w:type="paragraph" w:customStyle="1" w:styleId="MarginNote">
    <w:name w:val="Margin Note"/>
    <w:basedOn w:val="BodyText"/>
    <w:rsid w:val="00F06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B42"/>
    <w:rPr>
      <w:sz w:val="32"/>
    </w:rPr>
  </w:style>
  <w:style w:type="paragraph" w:customStyle="1" w:styleId="HeadingProcedure">
    <w:name w:val="Heading Procedure"/>
    <w:basedOn w:val="HeadingBase"/>
    <w:next w:val="Normal"/>
    <w:rsid w:val="00F06B42"/>
    <w:pPr>
      <w:tabs>
        <w:tab w:val="left" w:pos="0"/>
      </w:tabs>
      <w:spacing w:before="120" w:after="60"/>
    </w:pPr>
    <w:rPr>
      <w:i/>
      <w:color w:val="918585"/>
      <w:sz w:val="22"/>
    </w:rPr>
  </w:style>
  <w:style w:type="paragraph" w:customStyle="1" w:styleId="TableBodyText">
    <w:name w:val="Table Body Text"/>
    <w:basedOn w:val="BodyText"/>
    <w:rsid w:val="00F06B42"/>
    <w:pPr>
      <w:spacing w:before="60" w:after="60"/>
    </w:pPr>
  </w:style>
  <w:style w:type="paragraph" w:styleId="ListContinue">
    <w:name w:val="List Continue"/>
    <w:basedOn w:val="List"/>
    <w:rsid w:val="00F06B42"/>
    <w:pPr>
      <w:ind w:firstLine="0"/>
    </w:pPr>
  </w:style>
  <w:style w:type="paragraph" w:customStyle="1" w:styleId="ListNote">
    <w:name w:val="List Note"/>
    <w:basedOn w:val="List"/>
    <w:rsid w:val="00F06B42"/>
    <w:pPr>
      <w:pBdr>
        <w:top w:val="single" w:sz="6" w:space="2" w:color="918585"/>
        <w:bottom w:val="single" w:sz="6" w:space="2" w:color="918585"/>
      </w:pBdr>
      <w:tabs>
        <w:tab w:val="left" w:pos="1021"/>
      </w:tabs>
      <w:ind w:firstLine="0"/>
    </w:pPr>
  </w:style>
  <w:style w:type="paragraph" w:customStyle="1" w:styleId="Warning">
    <w:name w:val="Warning"/>
    <w:basedOn w:val="BodyText"/>
    <w:rsid w:val="00F06B42"/>
    <w:pPr>
      <w:shd w:val="clear" w:color="auto" w:fill="D9D9D9"/>
      <w:tabs>
        <w:tab w:val="left" w:pos="992"/>
      </w:tabs>
      <w:ind w:left="119" w:right="119"/>
    </w:pPr>
    <w:rPr>
      <w:sz w:val="20"/>
    </w:rPr>
  </w:style>
  <w:style w:type="paragraph" w:customStyle="1" w:styleId="MarginIcons">
    <w:name w:val="Margin Icons"/>
    <w:basedOn w:val="BodyText"/>
    <w:rsid w:val="00F06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B42"/>
    <w:rPr>
      <w:rFonts w:ascii="Courier New" w:hAnsi="Courier New"/>
    </w:rPr>
  </w:style>
  <w:style w:type="paragraph" w:customStyle="1" w:styleId="NoteBullet">
    <w:name w:val="Note Bullet"/>
    <w:basedOn w:val="Note"/>
    <w:rsid w:val="00F06B42"/>
    <w:pPr>
      <w:tabs>
        <w:tab w:val="clear" w:pos="680"/>
      </w:tabs>
      <w:spacing w:before="60" w:after="60"/>
    </w:pPr>
  </w:style>
  <w:style w:type="paragraph" w:customStyle="1" w:styleId="SubHeading2">
    <w:name w:val="SubHeading2"/>
    <w:basedOn w:val="HeadingBase"/>
    <w:rsid w:val="00F06B42"/>
    <w:pPr>
      <w:spacing w:before="240" w:after="60"/>
    </w:pPr>
    <w:rPr>
      <w:sz w:val="20"/>
    </w:rPr>
  </w:style>
  <w:style w:type="paragraph" w:customStyle="1" w:styleId="SubHeading1">
    <w:name w:val="SubHeading1"/>
    <w:basedOn w:val="HeadingBase"/>
    <w:rsid w:val="00F06B42"/>
    <w:pPr>
      <w:spacing w:before="240" w:after="60"/>
    </w:pPr>
    <w:rPr>
      <w:color w:val="918585"/>
      <w:sz w:val="22"/>
    </w:rPr>
  </w:style>
  <w:style w:type="paragraph" w:customStyle="1" w:styleId="SideHeading">
    <w:name w:val="Side Heading"/>
    <w:basedOn w:val="HeadingBase"/>
    <w:rsid w:val="00F06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B42"/>
    <w:pPr>
      <w:numPr>
        <w:numId w:val="12"/>
      </w:numPr>
    </w:pPr>
  </w:style>
  <w:style w:type="paragraph" w:styleId="PlainText">
    <w:name w:val="Plain Text"/>
    <w:basedOn w:val="Normal"/>
    <w:link w:val="PlainTextChar"/>
    <w:rsid w:val="00F06B42"/>
    <w:rPr>
      <w:sz w:val="20"/>
    </w:rPr>
  </w:style>
  <w:style w:type="character" w:customStyle="1" w:styleId="PlainTextChar">
    <w:name w:val="Plain Text Char"/>
    <w:basedOn w:val="DefaultParagraphFont"/>
    <w:link w:val="PlainText"/>
    <w:rsid w:val="00F06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6B42"/>
    <w:rPr>
      <w:b/>
      <w:smallCaps/>
    </w:rPr>
  </w:style>
  <w:style w:type="paragraph" w:customStyle="1" w:styleId="TableListNumber">
    <w:name w:val="Table List Number"/>
    <w:basedOn w:val="ListNumber"/>
    <w:rsid w:val="00F06B42"/>
    <w:pPr>
      <w:numPr>
        <w:numId w:val="0"/>
      </w:numPr>
    </w:pPr>
  </w:style>
  <w:style w:type="paragraph" w:styleId="TOC4">
    <w:name w:val="toc 4"/>
    <w:basedOn w:val="TOCBase"/>
    <w:next w:val="Normal"/>
    <w:semiHidden/>
    <w:rsid w:val="00F06B42"/>
    <w:pPr>
      <w:tabs>
        <w:tab w:val="right" w:leader="dot" w:pos="9071"/>
      </w:tabs>
      <w:ind w:left="1701"/>
    </w:pPr>
  </w:style>
  <w:style w:type="paragraph" w:customStyle="1" w:styleId="ListAlpha">
    <w:name w:val="List Alpha"/>
    <w:basedOn w:val="List"/>
    <w:rsid w:val="00F06B42"/>
    <w:pPr>
      <w:numPr>
        <w:numId w:val="9"/>
      </w:numPr>
    </w:pPr>
  </w:style>
  <w:style w:type="paragraph" w:customStyle="1" w:styleId="ListAlpha2">
    <w:name w:val="List Alpha 2"/>
    <w:basedOn w:val="List2"/>
    <w:rsid w:val="00F06B42"/>
    <w:pPr>
      <w:numPr>
        <w:numId w:val="8"/>
      </w:numPr>
    </w:pPr>
  </w:style>
  <w:style w:type="paragraph" w:styleId="List2">
    <w:name w:val="List 2"/>
    <w:basedOn w:val="BodyText"/>
    <w:rsid w:val="00F06B42"/>
    <w:pPr>
      <w:tabs>
        <w:tab w:val="left" w:pos="680"/>
      </w:tabs>
      <w:spacing w:before="60" w:after="60"/>
      <w:ind w:left="680" w:hanging="340"/>
    </w:pPr>
  </w:style>
  <w:style w:type="paragraph" w:styleId="List3">
    <w:name w:val="List 3"/>
    <w:basedOn w:val="BodyText"/>
    <w:rsid w:val="00F06B42"/>
    <w:pPr>
      <w:tabs>
        <w:tab w:val="left" w:pos="1021"/>
      </w:tabs>
      <w:spacing w:before="60" w:after="60"/>
      <w:ind w:left="1020" w:hanging="340"/>
    </w:pPr>
  </w:style>
  <w:style w:type="paragraph" w:styleId="List4">
    <w:name w:val="List 4"/>
    <w:basedOn w:val="BodyText"/>
    <w:rsid w:val="00F06B42"/>
    <w:pPr>
      <w:tabs>
        <w:tab w:val="left" w:pos="1361"/>
      </w:tabs>
      <w:spacing w:before="60" w:after="60"/>
      <w:ind w:left="1361" w:hanging="340"/>
    </w:pPr>
  </w:style>
  <w:style w:type="paragraph" w:styleId="List5">
    <w:name w:val="List 5"/>
    <w:basedOn w:val="BodyText"/>
    <w:rsid w:val="00F06B42"/>
    <w:pPr>
      <w:tabs>
        <w:tab w:val="left" w:pos="1701"/>
      </w:tabs>
      <w:spacing w:before="60" w:after="60"/>
      <w:ind w:left="1701" w:hanging="340"/>
    </w:pPr>
  </w:style>
  <w:style w:type="paragraph" w:styleId="ListBullet3">
    <w:name w:val="List Bullet 3"/>
    <w:basedOn w:val="List3"/>
    <w:rsid w:val="00F06B42"/>
    <w:pPr>
      <w:numPr>
        <w:numId w:val="15"/>
      </w:numPr>
      <w:tabs>
        <w:tab w:val="clear" w:pos="1021"/>
      </w:tabs>
      <w:ind w:left="1037" w:hanging="357"/>
    </w:pPr>
  </w:style>
  <w:style w:type="paragraph" w:styleId="ListBullet4">
    <w:name w:val="List Bullet 4"/>
    <w:basedOn w:val="List4"/>
    <w:rsid w:val="00F06B42"/>
    <w:pPr>
      <w:numPr>
        <w:numId w:val="3"/>
      </w:numPr>
    </w:pPr>
  </w:style>
  <w:style w:type="paragraph" w:styleId="ListBullet5">
    <w:name w:val="List Bullet 5"/>
    <w:basedOn w:val="List5"/>
    <w:rsid w:val="00F06B42"/>
    <w:pPr>
      <w:numPr>
        <w:numId w:val="4"/>
      </w:numPr>
    </w:pPr>
  </w:style>
  <w:style w:type="paragraph" w:styleId="ListContinue2">
    <w:name w:val="List Continue 2"/>
    <w:basedOn w:val="List2"/>
    <w:rsid w:val="00F06B42"/>
    <w:pPr>
      <w:ind w:firstLine="0"/>
    </w:pPr>
  </w:style>
  <w:style w:type="paragraph" w:styleId="ListContinue3">
    <w:name w:val="List Continue 3"/>
    <w:basedOn w:val="List3"/>
    <w:rsid w:val="00F06B42"/>
    <w:pPr>
      <w:ind w:left="1021" w:firstLine="0"/>
    </w:pPr>
  </w:style>
  <w:style w:type="paragraph" w:styleId="ListContinue4">
    <w:name w:val="List Continue 4"/>
    <w:basedOn w:val="List4"/>
    <w:rsid w:val="00F06B42"/>
    <w:pPr>
      <w:ind w:firstLine="0"/>
    </w:pPr>
  </w:style>
  <w:style w:type="paragraph" w:styleId="ListContinue5">
    <w:name w:val="List Continue 5"/>
    <w:basedOn w:val="List5"/>
    <w:rsid w:val="00F06B42"/>
    <w:pPr>
      <w:ind w:firstLine="0"/>
    </w:pPr>
  </w:style>
  <w:style w:type="paragraph" w:styleId="ListNumber3">
    <w:name w:val="List Number 3"/>
    <w:basedOn w:val="List3"/>
    <w:rsid w:val="00F06B42"/>
    <w:pPr>
      <w:numPr>
        <w:numId w:val="5"/>
      </w:numPr>
    </w:pPr>
  </w:style>
  <w:style w:type="paragraph" w:styleId="ListNumber4">
    <w:name w:val="List Number 4"/>
    <w:basedOn w:val="List4"/>
    <w:rsid w:val="00F06B42"/>
    <w:pPr>
      <w:numPr>
        <w:numId w:val="6"/>
      </w:numPr>
    </w:pPr>
  </w:style>
  <w:style w:type="paragraph" w:styleId="ListNumber5">
    <w:name w:val="List Number 5"/>
    <w:basedOn w:val="List5"/>
    <w:rsid w:val="00F06B42"/>
    <w:pPr>
      <w:numPr>
        <w:numId w:val="7"/>
      </w:numPr>
    </w:pPr>
  </w:style>
  <w:style w:type="paragraph" w:styleId="BlockText">
    <w:name w:val="Block Text"/>
    <w:basedOn w:val="Normal"/>
    <w:rsid w:val="00F06B42"/>
    <w:pPr>
      <w:spacing w:after="120"/>
      <w:ind w:left="1440" w:right="1440"/>
    </w:pPr>
  </w:style>
  <w:style w:type="character" w:customStyle="1" w:styleId="Subscript">
    <w:name w:val="Subscript"/>
    <w:basedOn w:val="DefaultParagraphFont"/>
    <w:rsid w:val="00F06B42"/>
    <w:rPr>
      <w:sz w:val="16"/>
      <w:vertAlign w:val="subscript"/>
    </w:rPr>
  </w:style>
  <w:style w:type="character" w:customStyle="1" w:styleId="Superscript">
    <w:name w:val="Superscript"/>
    <w:basedOn w:val="DefaultParagraphFont"/>
    <w:rsid w:val="00F06B42"/>
    <w:rPr>
      <w:sz w:val="16"/>
      <w:vertAlign w:val="superscript"/>
    </w:rPr>
  </w:style>
  <w:style w:type="character" w:customStyle="1" w:styleId="Symbols">
    <w:name w:val="Symbols"/>
    <w:basedOn w:val="DefaultParagraphFont"/>
    <w:rsid w:val="00F06B42"/>
    <w:rPr>
      <w:rFonts w:ascii="Symbol" w:hAnsi="Symbol"/>
    </w:rPr>
  </w:style>
  <w:style w:type="character" w:customStyle="1" w:styleId="MenuOptions">
    <w:name w:val="Menu Options"/>
    <w:basedOn w:val="DefaultParagraphFont"/>
    <w:rsid w:val="00F06B42"/>
    <w:rPr>
      <w:rFonts w:ascii="Arial Narrow" w:hAnsi="Arial Narrow"/>
      <w:smallCaps/>
    </w:rPr>
  </w:style>
  <w:style w:type="character" w:customStyle="1" w:styleId="Buttons">
    <w:name w:val="Buttons"/>
    <w:basedOn w:val="DefaultParagraphFont"/>
    <w:rsid w:val="00F06B42"/>
    <w:rPr>
      <w:b/>
    </w:rPr>
  </w:style>
  <w:style w:type="character" w:customStyle="1" w:styleId="Underlined">
    <w:name w:val="Underlined"/>
    <w:basedOn w:val="DefaultParagraphFont"/>
    <w:rsid w:val="00F06B42"/>
    <w:rPr>
      <w:u w:val="single"/>
    </w:rPr>
  </w:style>
  <w:style w:type="paragraph" w:customStyle="1" w:styleId="TableBodyTextRight">
    <w:name w:val="Table Body Text Right"/>
    <w:basedOn w:val="TableBodyText"/>
    <w:rsid w:val="00F06B42"/>
    <w:pPr>
      <w:widowControl w:val="0"/>
      <w:autoSpaceDE w:val="0"/>
      <w:autoSpaceDN w:val="0"/>
      <w:adjustRightInd w:val="0"/>
      <w:jc w:val="right"/>
    </w:pPr>
    <w:rPr>
      <w:rFonts w:cs="Arial"/>
      <w:szCs w:val="18"/>
    </w:rPr>
  </w:style>
  <w:style w:type="paragraph" w:customStyle="1" w:styleId="CopyrightText">
    <w:name w:val="Copyright Text"/>
    <w:basedOn w:val="BodyText"/>
    <w:rsid w:val="00F06B42"/>
    <w:rPr>
      <w:sz w:val="18"/>
    </w:rPr>
  </w:style>
  <w:style w:type="paragraph" w:customStyle="1" w:styleId="BodySmallRight">
    <w:name w:val="Body Small Right"/>
    <w:basedOn w:val="BodyTextRight"/>
    <w:rsid w:val="00F06B42"/>
    <w:rPr>
      <w:sz w:val="18"/>
      <w:szCs w:val="18"/>
    </w:rPr>
  </w:style>
  <w:style w:type="paragraph" w:customStyle="1" w:styleId="MarginEdition">
    <w:name w:val="Margin Edition"/>
    <w:basedOn w:val="MarginNote"/>
    <w:rsid w:val="00F06B42"/>
    <w:pPr>
      <w:spacing w:before="0" w:after="0"/>
    </w:pPr>
    <w:rPr>
      <w:rFonts w:ascii="Times New Roman" w:hAnsi="Times New Roman"/>
      <w:color w:val="999999"/>
    </w:rPr>
  </w:style>
  <w:style w:type="paragraph" w:customStyle="1" w:styleId="Spacer">
    <w:name w:val="Spacer"/>
    <w:basedOn w:val="Normal"/>
    <w:rsid w:val="00F06B42"/>
    <w:rPr>
      <w:sz w:val="2"/>
      <w:szCs w:val="2"/>
    </w:rPr>
  </w:style>
  <w:style w:type="character" w:customStyle="1" w:styleId="Small">
    <w:name w:val="Small"/>
    <w:basedOn w:val="DefaultParagraphFont"/>
    <w:rsid w:val="00F06B42"/>
    <w:rPr>
      <w:sz w:val="16"/>
    </w:rPr>
  </w:style>
  <w:style w:type="paragraph" w:customStyle="1" w:styleId="WideTable">
    <w:name w:val="Wide Table"/>
    <w:basedOn w:val="Normal"/>
    <w:rsid w:val="00F06B42"/>
    <w:pPr>
      <w:ind w:left="-1418"/>
    </w:pPr>
    <w:rPr>
      <w:sz w:val="2"/>
      <w:szCs w:val="2"/>
    </w:rPr>
  </w:style>
  <w:style w:type="character" w:styleId="PageNumber">
    <w:name w:val="page number"/>
    <w:basedOn w:val="DefaultParagraphFont"/>
    <w:rsid w:val="00F06B42"/>
  </w:style>
  <w:style w:type="paragraph" w:styleId="Quote">
    <w:name w:val="Quote"/>
    <w:basedOn w:val="Heading1"/>
    <w:link w:val="QuoteChar"/>
    <w:qFormat/>
    <w:rsid w:val="00F06B42"/>
    <w:rPr>
      <w:b w:val="0"/>
      <w:sz w:val="72"/>
      <w:szCs w:val="72"/>
      <w:lang w:val="en-NZ"/>
    </w:rPr>
  </w:style>
  <w:style w:type="character" w:customStyle="1" w:styleId="QuoteChar">
    <w:name w:val="Quote Char"/>
    <w:basedOn w:val="DefaultParagraphFont"/>
    <w:link w:val="Quote"/>
    <w:rsid w:val="00F06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B42"/>
    <w:pPr>
      <w:pageBreakBefore/>
    </w:pPr>
  </w:style>
  <w:style w:type="paragraph" w:customStyle="1" w:styleId="Border">
    <w:name w:val="Border"/>
    <w:basedOn w:val="Normal"/>
    <w:qFormat/>
    <w:rsid w:val="00F06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B42"/>
    <w:rPr>
      <w:b/>
      <w:bCs/>
      <w:i/>
      <w:iCs/>
      <w:color w:val="auto"/>
    </w:rPr>
  </w:style>
  <w:style w:type="paragraph" w:styleId="IntenseQuote">
    <w:name w:val="Intense Quote"/>
    <w:basedOn w:val="Normal"/>
    <w:next w:val="Normal"/>
    <w:link w:val="IntenseQuoteChar"/>
    <w:uiPriority w:val="30"/>
    <w:qFormat/>
    <w:rsid w:val="00F06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6B42"/>
    <w:rPr>
      <w:smallCaps/>
      <w:color w:val="auto"/>
      <w:u w:val="single"/>
    </w:rPr>
  </w:style>
  <w:style w:type="character" w:styleId="IntenseReference">
    <w:name w:val="Intense Reference"/>
    <w:basedOn w:val="DefaultParagraphFont"/>
    <w:uiPriority w:val="32"/>
    <w:qFormat/>
    <w:rsid w:val="00F06B42"/>
    <w:rPr>
      <w:b/>
      <w:bCs/>
      <w:smallCaps/>
      <w:color w:val="auto"/>
      <w:spacing w:val="5"/>
      <w:u w:val="single"/>
    </w:rPr>
  </w:style>
  <w:style w:type="paragraph" w:customStyle="1" w:styleId="2ColumnHeading">
    <w:name w:val="2Column Heading"/>
    <w:basedOn w:val="BodyText"/>
    <w:qFormat/>
    <w:rsid w:val="00F06B42"/>
    <w:pPr>
      <w:spacing w:after="60"/>
      <w:ind w:left="-2268"/>
    </w:pPr>
    <w:rPr>
      <w:b/>
    </w:rPr>
  </w:style>
  <w:style w:type="paragraph" w:customStyle="1" w:styleId="Heading1TOC">
    <w:name w:val="Heading1 TOC"/>
    <w:basedOn w:val="Normal"/>
    <w:qFormat/>
    <w:rsid w:val="00F06B42"/>
    <w:pPr>
      <w:spacing w:before="240" w:after="120"/>
    </w:pPr>
    <w:rPr>
      <w:rFonts w:ascii="Times New Roman" w:hAnsi="Times New Roman"/>
      <w:b/>
      <w:sz w:val="32"/>
    </w:rPr>
  </w:style>
  <w:style w:type="paragraph" w:customStyle="1" w:styleId="Heading2TOC">
    <w:name w:val="Heading2 TOC"/>
    <w:basedOn w:val="Normal"/>
    <w:qFormat/>
    <w:rsid w:val="00F06B42"/>
    <w:pPr>
      <w:spacing w:before="240" w:after="60"/>
    </w:pPr>
    <w:rPr>
      <w:rFonts w:ascii="Times New Roman" w:hAnsi="Times New Roman"/>
      <w:b/>
      <w:sz w:val="28"/>
    </w:rPr>
  </w:style>
  <w:style w:type="character" w:customStyle="1" w:styleId="Underline">
    <w:name w:val="Underline"/>
    <w:basedOn w:val="DefaultParagraphFont"/>
    <w:qFormat/>
    <w:rsid w:val="00F06B42"/>
    <w:rPr>
      <w:u w:val="single"/>
    </w:rPr>
  </w:style>
  <w:style w:type="character" w:customStyle="1" w:styleId="BoldandItalics">
    <w:name w:val="Bold and Italics"/>
    <w:qFormat/>
    <w:rsid w:val="00F06B42"/>
    <w:rPr>
      <w:b/>
      <w:i/>
      <w:u w:val="none"/>
    </w:rPr>
  </w:style>
  <w:style w:type="paragraph" w:styleId="BalloonText">
    <w:name w:val="Balloon Text"/>
    <w:basedOn w:val="Normal"/>
    <w:link w:val="BalloonTextChar"/>
    <w:rsid w:val="00F06B42"/>
    <w:rPr>
      <w:rFonts w:ascii="Tahoma" w:hAnsi="Tahoma" w:cs="Tahoma"/>
      <w:sz w:val="16"/>
      <w:szCs w:val="16"/>
    </w:rPr>
  </w:style>
  <w:style w:type="character" w:customStyle="1" w:styleId="BalloonTextChar">
    <w:name w:val="Balloon Text Char"/>
    <w:basedOn w:val="DefaultParagraphFont"/>
    <w:link w:val="BalloonText"/>
    <w:rsid w:val="00F06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9141</Characters>
  <Application>Microsoft Office Word</Application>
  <DocSecurity>0</DocSecurity>
  <Lines>310</Lines>
  <Paragraphs>131</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CHCMED419C Facilitate alternative dispute resolution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