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EF2" w:rsidP="00E62EF2">
      <w:pPr>
        <w:pStyle w:val="Title"/>
      </w:pPr>
      <w:r>
        <w:fldChar w:fldCharType="begin"/>
      </w:r>
      <w:r>
        <w:instrText xml:space="preserve"> TITLE   \* MERGEFORMAT </w:instrText>
      </w:r>
      <w:r>
        <w:fldChar w:fldCharType="separate"/>
      </w:r>
      <w:r>
        <w:t>CHCFLE303A Educate clients to understand debt and consumer credit</w:t>
      </w:r>
      <w:r>
        <w:fldChar w:fldCharType="end"/>
      </w:r>
    </w:p>
    <w:p w:rsidR="00E62EF2" w:rsidP="00E62EF2">
      <w:pPr>
        <w:pStyle w:val="Version"/>
        <w:sectPr w:rsidSect="005479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9B4" w:rsidP="005479B4">
      <w:pPr>
        <w:pStyle w:val="SuperHeading"/>
      </w:pPr>
      <w:r w:rsidRPr="005479B4">
        <w:t>CHCFLE303A Educate clients to understand debt and consumer credit</w:t>
      </w:r>
    </w:p>
    <w:p w:rsidR="00000000" w:rsidRPr="005479B4" w:rsidP="005479B4">
      <w:pPr>
        <w:pStyle w:val="Heading1"/>
      </w:pPr>
      <w:bookmarkStart w:id="1" w:name="O_269173"/>
      <w:bookmarkEnd w:id="1"/>
      <w:r w:rsidRPr="005479B4">
        <w:t>Modification History</w:t>
      </w:r>
    </w:p>
    <w:p w:rsidR="00000000" w:rsidRPr="005479B4" w:rsidP="005479B4">
      <w:pPr>
        <w:pStyle w:val="BodyText"/>
      </w:pPr>
      <w:r w:rsidRPr="005479B4">
        <w:t>Not Applicable</w:t>
      </w:r>
    </w:p>
    <w:p w:rsidR="00000000" w:rsidRPr="005479B4" w:rsidP="005479B4">
      <w:pPr>
        <w:pStyle w:val="AllowPageBreak"/>
      </w:pPr>
    </w:p>
    <w:p w:rsidR="00000000" w:rsidRPr="005479B4" w:rsidP="005479B4">
      <w:pPr>
        <w:pStyle w:val="Heading1"/>
      </w:pPr>
      <w:bookmarkStart w:id="2" w:name="O_195964"/>
      <w:bookmarkEnd w:id="2"/>
      <w:r w:rsidRPr="005479B4">
        <w:t>Unit Descriptor</w:t>
      </w:r>
    </w:p>
    <w:tbl>
      <w:tblPr>
        <w:tblW w:w="0" w:type="auto"/>
        <w:tblLayout w:type="fixed"/>
        <w:tblCellMar>
          <w:left w:w="62" w:type="dxa"/>
          <w:right w:w="62" w:type="dxa"/>
        </w:tblCellMar>
        <w:tblLook w:val="0000"/>
      </w:tblPr>
      <w:tblGrid>
        <w:gridCol w:w="3339"/>
        <w:gridCol w:w="5217"/>
      </w:tblGrid>
      <w:tr w:rsidTr="00E62EF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r w:rsidRPr="005479B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479B4" w:rsidP="005479B4">
            <w:pPr>
              <w:pStyle w:val="BodyText"/>
            </w:pPr>
            <w:r w:rsidRPr="005479B4">
              <w:t>This unit describes the skills and knowledge required to educate clients in basic financia</w:t>
            </w:r>
            <w:r w:rsidRPr="005479B4">
              <w:t>l literacy concepts relating to debt and consumer credit</w:t>
            </w:r>
          </w:p>
        </w:tc>
      </w:tr>
    </w:tbl>
    <w:p w:rsidR="00E62EF2" w:rsidP="005479B4">
      <w:pPr>
        <w:pStyle w:val="BodyText"/>
      </w:pPr>
    </w:p>
    <w:p w:rsidR="00E62EF2" w:rsidP="005479B4">
      <w:pPr>
        <w:pStyle w:val="BodyText"/>
      </w:pPr>
    </w:p>
    <w:p w:rsidR="00000000" w:rsidRPr="005479B4" w:rsidP="005479B4">
      <w:pPr>
        <w:pStyle w:val="Heading1"/>
      </w:pPr>
      <w:bookmarkStart w:id="3" w:name="O_195966"/>
      <w:bookmarkEnd w:id="3"/>
      <w:r w:rsidRPr="005479B4">
        <w:t>Application of the Unit</w:t>
      </w:r>
    </w:p>
    <w:tbl>
      <w:tblPr>
        <w:tblW w:w="0" w:type="auto"/>
        <w:tblLayout w:type="fixed"/>
        <w:tblCellMar>
          <w:left w:w="62" w:type="dxa"/>
          <w:right w:w="62" w:type="dxa"/>
        </w:tblCellMar>
        <w:tblLook w:val="0000"/>
      </w:tblPr>
      <w:tblGrid>
        <w:gridCol w:w="3340"/>
        <w:gridCol w:w="5216"/>
      </w:tblGrid>
      <w:tr w:rsidTr="00E62EF2">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r w:rsidRPr="005479B4">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5479B4" w:rsidP="005479B4">
            <w:pPr>
              <w:pStyle w:val="BodyText"/>
            </w:pPr>
            <w:r w:rsidRPr="005479B4">
              <w:t xml:space="preserve">This unit is designed for application by workers in the community sector who may need to provide basic financial literacy education for client </w:t>
            </w:r>
            <w:r w:rsidRPr="005479B4">
              <w:t>groups</w:t>
            </w:r>
          </w:p>
          <w:p w:rsidR="00000000" w:rsidRPr="005479B4" w:rsidP="005479B4">
            <w:pPr>
              <w:pStyle w:val="BodyText"/>
            </w:pPr>
            <w:r w:rsidRPr="005479B4">
              <w:t xml:space="preserve">Financial literacy education provides targeted information and resources to meet particular client needs </w:t>
            </w:r>
          </w:p>
          <w:p w:rsidR="00000000" w:rsidRPr="005479B4" w:rsidP="005479B4">
            <w:pPr>
              <w:pStyle w:val="BodyText"/>
            </w:pPr>
            <w:r w:rsidRPr="005479B4">
              <w:t>Acquisition of financial literacy education competencies alone does not provide sufficient foundation to undertake complex financial literacy e</w:t>
            </w:r>
            <w:r w:rsidRPr="005479B4">
              <w:t xml:space="preserve">ducation or financial counselling </w:t>
            </w:r>
          </w:p>
          <w:p w:rsidR="00000000" w:rsidRPr="005479B4" w:rsidP="005479B4">
            <w:pPr>
              <w:pStyle w:val="BodyText"/>
            </w:pPr>
            <w:r w:rsidRPr="005479B4">
              <w:t xml:space="preserve">Where financial issues have the potential to become complex, clients should be referred to a qualified financial counsellor </w:t>
            </w:r>
          </w:p>
        </w:tc>
      </w:tr>
    </w:tbl>
    <w:p w:rsidR="00E62EF2" w:rsidP="005479B4">
      <w:pPr>
        <w:pStyle w:val="BodyText"/>
      </w:pPr>
    </w:p>
    <w:p w:rsidR="00E62EF2" w:rsidP="005479B4">
      <w:pPr>
        <w:pStyle w:val="BodyText"/>
      </w:pPr>
    </w:p>
    <w:p w:rsidR="00000000" w:rsidRPr="005479B4" w:rsidP="005479B4">
      <w:pPr>
        <w:pStyle w:val="Heading1"/>
      </w:pPr>
      <w:bookmarkStart w:id="4" w:name="O_277433"/>
      <w:bookmarkEnd w:id="4"/>
      <w:r w:rsidRPr="005479B4">
        <w:t>Licensing/Regulatory Information</w:t>
      </w:r>
    </w:p>
    <w:p w:rsidR="00000000" w:rsidRPr="005479B4" w:rsidP="005479B4">
      <w:pPr>
        <w:pStyle w:val="BodyText"/>
      </w:pPr>
      <w:r w:rsidRPr="005479B4">
        <w:t>Not Applicable</w:t>
      </w:r>
    </w:p>
    <w:p w:rsidR="00000000" w:rsidRPr="005479B4" w:rsidP="005479B4">
      <w:pPr>
        <w:pStyle w:val="AllowPageBreak"/>
      </w:pPr>
    </w:p>
    <w:p w:rsidR="00000000" w:rsidRPr="005479B4" w:rsidP="005479B4">
      <w:pPr>
        <w:pStyle w:val="Heading1"/>
      </w:pPr>
      <w:bookmarkStart w:id="5" w:name="O_283273"/>
      <w:bookmarkEnd w:id="5"/>
      <w:r w:rsidRPr="005479B4">
        <w:t>Pre-Requisites</w:t>
      </w:r>
    </w:p>
    <w:p w:rsidR="00000000" w:rsidRPr="005479B4" w:rsidP="005479B4">
      <w:pPr>
        <w:pStyle w:val="BodyText"/>
      </w:pPr>
      <w:r w:rsidRPr="005479B4">
        <w:t>Not Applicable</w:t>
      </w:r>
    </w:p>
    <w:p w:rsidR="00000000" w:rsidRPr="005479B4" w:rsidP="005479B4">
      <w:pPr>
        <w:pStyle w:val="AllowPageBreak"/>
      </w:pPr>
    </w:p>
    <w:p w:rsidR="00000000" w:rsidRPr="005479B4" w:rsidP="005479B4">
      <w:pPr>
        <w:pStyle w:val="Heading1"/>
      </w:pPr>
      <w:bookmarkStart w:id="6" w:name="O_195965"/>
      <w:bookmarkEnd w:id="6"/>
      <w:r w:rsidRPr="005479B4">
        <w:t>Employability Skills Information</w:t>
      </w:r>
    </w:p>
    <w:tbl>
      <w:tblPr>
        <w:tblW w:w="0" w:type="auto"/>
        <w:tblLayout w:type="fixed"/>
        <w:tblCellMar>
          <w:left w:w="62" w:type="dxa"/>
          <w:right w:w="62" w:type="dxa"/>
        </w:tblCellMar>
        <w:tblLook w:val="0000"/>
      </w:tblPr>
      <w:tblGrid>
        <w:gridCol w:w="3320"/>
        <w:gridCol w:w="5236"/>
      </w:tblGrid>
      <w:tr w:rsidTr="00E62EF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r w:rsidRPr="005479B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479B4" w:rsidP="005479B4">
            <w:pPr>
              <w:pStyle w:val="BodyText"/>
            </w:pPr>
            <w:r w:rsidRPr="005479B4">
              <w:t>This unit contains Employability Skills</w:t>
            </w:r>
          </w:p>
        </w:tc>
      </w:tr>
    </w:tbl>
    <w:p w:rsidR="00E62EF2" w:rsidP="005479B4">
      <w:pPr>
        <w:pStyle w:val="BodyText"/>
      </w:pPr>
    </w:p>
    <w:p w:rsidR="00E62EF2" w:rsidP="005479B4">
      <w:pPr>
        <w:pStyle w:val="BodyText"/>
      </w:pPr>
    </w:p>
    <w:p w:rsidR="00000000" w:rsidRPr="005479B4" w:rsidP="005479B4">
      <w:pPr>
        <w:pStyle w:val="Heading1"/>
      </w:pPr>
      <w:bookmarkStart w:id="7" w:name="O_287219"/>
      <w:bookmarkEnd w:id="7"/>
      <w:r w:rsidRPr="005479B4">
        <w:t>Elements and Performance Criteria Pre-Content</w:t>
      </w:r>
    </w:p>
    <w:tbl>
      <w:tblPr>
        <w:tblW w:w="0" w:type="auto"/>
        <w:tblLayout w:type="fixed"/>
        <w:tblCellMar>
          <w:left w:w="62" w:type="dxa"/>
          <w:right w:w="62" w:type="dxa"/>
        </w:tblCellMar>
        <w:tblLook w:val="0000"/>
      </w:tblPr>
      <w:tblGrid>
        <w:gridCol w:w="3369"/>
        <w:gridCol w:w="5702"/>
      </w:tblGrid>
      <w:tr w:rsidTr="00E62E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r w:rsidRPr="005479B4">
              <w:t xml:space="preserve">Elements define the essential outcomes of a unit </w:t>
            </w:r>
            <w:r w:rsidRPr="005479B4">
              <w:t>of competency.</w:t>
            </w:r>
          </w:p>
        </w:tc>
        <w:tc>
          <w:tcPr>
            <w:tcW w:w="5702" w:type="dxa"/>
            <w:tcBorders>
              <w:top w:val="nil"/>
              <w:left w:val="nil"/>
              <w:bottom w:val="nil"/>
              <w:right w:val="nil"/>
            </w:tcBorders>
            <w:tcMar>
              <w:top w:w="0" w:type="dxa"/>
              <w:left w:w="62" w:type="dxa"/>
              <w:bottom w:w="0" w:type="dxa"/>
              <w:right w:w="62" w:type="dxa"/>
            </w:tcMar>
          </w:tcPr>
          <w:p w:rsidR="00000000" w:rsidRPr="005479B4" w:rsidP="005479B4">
            <w:pPr>
              <w:pStyle w:val="BodyText"/>
            </w:pPr>
            <w:r w:rsidRPr="005479B4">
              <w:t xml:space="preserve">The Performance Criteria specify the level of performance required to demonstrate achievement of the Element. Terms in italics are elaborated in the Range Statement. </w:t>
            </w:r>
          </w:p>
        </w:tc>
      </w:tr>
    </w:tbl>
    <w:p w:rsidR="00000000" w:rsidRPr="005479B4" w:rsidP="005479B4">
      <w:pPr>
        <w:pStyle w:val="BodyText"/>
      </w:pPr>
    </w:p>
    <w:p w:rsidR="00000000" w:rsidRPr="005479B4" w:rsidP="005479B4">
      <w:pPr>
        <w:pStyle w:val="AllowPageBreak"/>
      </w:pPr>
    </w:p>
    <w:p w:rsidR="00000000" w:rsidRPr="005479B4" w:rsidP="005479B4">
      <w:pPr>
        <w:pStyle w:val="Heading1"/>
      </w:pPr>
      <w:bookmarkStart w:id="8" w:name="O_233886"/>
      <w:bookmarkEnd w:id="8"/>
      <w:r w:rsidRPr="005479B4">
        <w:t>Elements and Performance Criteria</w:t>
      </w:r>
    </w:p>
    <w:tbl>
      <w:tblPr>
        <w:tblW w:w="0" w:type="auto"/>
        <w:tblLayout w:type="fixed"/>
        <w:tblCellMar>
          <w:left w:w="62" w:type="dxa"/>
          <w:right w:w="62" w:type="dxa"/>
        </w:tblCellMar>
        <w:tblLook w:val="0000"/>
      </w:tblPr>
      <w:tblGrid>
        <w:gridCol w:w="3369"/>
        <w:gridCol w:w="5702"/>
      </w:tblGrid>
      <w:tr w:rsidTr="00E62EF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479B4" w:rsidP="005479B4">
            <w:pPr>
              <w:pStyle w:val="BodyText"/>
            </w:pPr>
            <w:r w:rsidRPr="005479B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r w:rsidRPr="005479B4">
              <w:rPr>
                <w:rStyle w:val="SpecialBold"/>
              </w:rPr>
              <w:t>PERFORMANCE CRITERIA</w:t>
            </w:r>
          </w:p>
        </w:tc>
      </w:tr>
      <w:tr w:rsidTr="00E62E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79B4">
            <w:pPr>
              <w:pStyle w:val="List"/>
              <w:rPr>
                <w:lang w:val="en-NZ"/>
              </w:rPr>
            </w:pPr>
            <w:r w:rsidRPr="005479B4">
              <w:t>1.</w:t>
            </w:r>
            <w:r w:rsidRPr="005479B4">
              <w:tab/>
              <w:t xml:space="preserve">Apply knowledge of the role of credit </w:t>
            </w:r>
          </w:p>
        </w:tc>
        <w:tc>
          <w:tcPr>
            <w:tcW w:w="5702" w:type="dxa"/>
            <w:tcBorders>
              <w:top w:val="nil"/>
              <w:left w:val="nil"/>
              <w:bottom w:val="nil"/>
              <w:right w:val="nil"/>
            </w:tcBorders>
            <w:tcMar>
              <w:top w:w="0" w:type="dxa"/>
              <w:left w:w="62" w:type="dxa"/>
              <w:bottom w:w="0" w:type="dxa"/>
              <w:right w:w="62" w:type="dxa"/>
            </w:tcMar>
          </w:tcPr>
          <w:p w:rsidR="00000000" w:rsidRPr="005479B4" w:rsidP="005479B4">
            <w:pPr>
              <w:pStyle w:val="BodyText"/>
            </w:pPr>
            <w:r w:rsidRPr="005479B4">
              <w:t>1.1</w:t>
            </w:r>
            <w:r w:rsidRPr="005479B4">
              <w:tab/>
              <w:t xml:space="preserve">Demonstrate clear understanding and ability to explain concepts and terminology of credit provided by a financial institution and debt incurred by a borrower </w:t>
            </w:r>
          </w:p>
          <w:p w:rsidR="00000000" w:rsidRPr="005479B4" w:rsidP="005479B4">
            <w:pPr>
              <w:pStyle w:val="BodyText"/>
            </w:pPr>
            <w:r w:rsidRPr="005479B4">
              <w:t>1.2</w:t>
            </w:r>
            <w:r w:rsidRPr="005479B4">
              <w:tab/>
              <w:t>Compare features of diffe</w:t>
            </w:r>
            <w:r w:rsidRPr="005479B4">
              <w:t xml:space="preserve">rent types of loans or credit facilities </w:t>
            </w:r>
          </w:p>
          <w:p w:rsidR="00000000" w:rsidRPr="005479B4" w:rsidP="005479B4">
            <w:pPr>
              <w:pStyle w:val="BodyText"/>
            </w:pPr>
            <w:r w:rsidRPr="005479B4">
              <w:t>1.3</w:t>
            </w:r>
            <w:r w:rsidRPr="005479B4">
              <w:tab/>
              <w:t xml:space="preserve">Identify differences between unsecured and secured loans and explain implications of default on secured and unsecured loans </w:t>
            </w:r>
          </w:p>
          <w:p w:rsidR="00000000" w:rsidRPr="005479B4" w:rsidP="005479B4">
            <w:pPr>
              <w:pStyle w:val="BodyText"/>
            </w:pPr>
            <w:r w:rsidRPr="005479B4">
              <w:t>1.4</w:t>
            </w:r>
            <w:r w:rsidRPr="005479B4">
              <w:tab/>
              <w:t xml:space="preserve">Demonstrate understanding of and ability to explain the cost of credit </w:t>
            </w:r>
          </w:p>
          <w:p w:rsidR="00000000" w:rsidP="005479B4">
            <w:pPr>
              <w:pStyle w:val="BodyText"/>
              <w:rPr>
                <w:lang w:val="en-NZ"/>
              </w:rPr>
            </w:pPr>
            <w:r w:rsidRPr="005479B4">
              <w:t>1.5</w:t>
            </w:r>
            <w:r w:rsidRPr="005479B4">
              <w:tab/>
              <w:t>Expla</w:t>
            </w:r>
            <w:r w:rsidRPr="005479B4">
              <w:t xml:space="preserve">in basic concepts and uses of documents and </w:t>
            </w:r>
            <w:r w:rsidRPr="005479B4">
              <w:rPr>
                <w:rStyle w:val="Emphasis"/>
              </w:rPr>
              <w:t>paperwork</w:t>
            </w:r>
          </w:p>
        </w:tc>
      </w:tr>
      <w:tr w:rsidTr="00E62E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p>
        </w:tc>
      </w:tr>
      <w:tr w:rsidTr="00E62E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79B4">
            <w:pPr>
              <w:pStyle w:val="List"/>
              <w:rPr>
                <w:lang w:val="en-NZ"/>
              </w:rPr>
            </w:pPr>
            <w:r w:rsidRPr="005479B4">
              <w:t>2.</w:t>
            </w:r>
            <w:r w:rsidRPr="005479B4">
              <w:tab/>
              <w:t>Identify common debt issues</w:t>
            </w:r>
          </w:p>
        </w:tc>
        <w:tc>
          <w:tcPr>
            <w:tcW w:w="5702" w:type="dxa"/>
            <w:tcBorders>
              <w:top w:val="nil"/>
              <w:left w:val="nil"/>
              <w:bottom w:val="nil"/>
              <w:right w:val="nil"/>
            </w:tcBorders>
            <w:tcMar>
              <w:top w:w="0" w:type="dxa"/>
              <w:left w:w="62" w:type="dxa"/>
              <w:bottom w:w="0" w:type="dxa"/>
              <w:right w:w="62" w:type="dxa"/>
            </w:tcMar>
          </w:tcPr>
          <w:p w:rsidR="00000000" w:rsidRPr="005479B4" w:rsidP="005479B4">
            <w:pPr>
              <w:pStyle w:val="BodyText"/>
            </w:pPr>
            <w:r w:rsidRPr="005479B4">
              <w:t>2.1</w:t>
            </w:r>
            <w:r w:rsidRPr="005479B4">
              <w:tab/>
              <w:t>Discuss common types of debt including relationship debt with client and identify its potential implications in relation to specific client situation</w:t>
            </w:r>
          </w:p>
          <w:p w:rsidR="00000000" w:rsidRPr="005479B4" w:rsidP="005479B4">
            <w:pPr>
              <w:pStyle w:val="BodyText"/>
            </w:pPr>
            <w:r w:rsidRPr="005479B4">
              <w:t>2.2</w:t>
            </w:r>
            <w:r w:rsidRPr="005479B4">
              <w:tab/>
            </w:r>
            <w:r w:rsidRPr="005479B4">
              <w:t>Provide appropriate referrals to assist client to deal with debt issues</w:t>
            </w:r>
          </w:p>
          <w:p w:rsidR="00000000" w:rsidRPr="005479B4" w:rsidP="005479B4">
            <w:pPr>
              <w:pStyle w:val="BodyText"/>
            </w:pPr>
            <w:r w:rsidRPr="005479B4">
              <w:t>2.3</w:t>
            </w:r>
            <w:r w:rsidRPr="005479B4">
              <w:tab/>
              <w:t>Identify ways to avoid debt as a means to assist client to minimise debt</w:t>
            </w:r>
          </w:p>
          <w:p w:rsidR="00000000" w:rsidP="005479B4">
            <w:pPr>
              <w:pStyle w:val="BodyText"/>
              <w:rPr>
                <w:lang w:val="en-NZ"/>
              </w:rPr>
            </w:pPr>
            <w:r w:rsidRPr="005479B4">
              <w:t>2.4</w:t>
            </w:r>
            <w:r w:rsidRPr="005479B4">
              <w:tab/>
              <w:t>Identify range of debt reduction strategies to address client situation</w:t>
            </w:r>
          </w:p>
        </w:tc>
      </w:tr>
      <w:tr w:rsidTr="00E62E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p>
        </w:tc>
      </w:tr>
      <w:tr w:rsidTr="00E62E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79B4">
            <w:pPr>
              <w:pStyle w:val="List"/>
              <w:rPr>
                <w:lang w:val="en-NZ"/>
              </w:rPr>
            </w:pPr>
            <w:r w:rsidRPr="005479B4">
              <w:t>3.</w:t>
            </w:r>
            <w:r w:rsidRPr="005479B4">
              <w:tab/>
              <w:t xml:space="preserve">Identify complaints and </w:t>
            </w:r>
            <w:r w:rsidRPr="005479B4">
              <w:t>hardship options to address personal financial issues</w:t>
            </w:r>
          </w:p>
        </w:tc>
        <w:tc>
          <w:tcPr>
            <w:tcW w:w="5702" w:type="dxa"/>
            <w:tcBorders>
              <w:top w:val="nil"/>
              <w:left w:val="nil"/>
              <w:bottom w:val="nil"/>
              <w:right w:val="nil"/>
            </w:tcBorders>
            <w:tcMar>
              <w:top w:w="0" w:type="dxa"/>
              <w:left w:w="62" w:type="dxa"/>
              <w:bottom w:w="0" w:type="dxa"/>
              <w:right w:w="62" w:type="dxa"/>
            </w:tcMar>
          </w:tcPr>
          <w:p w:rsidR="00000000" w:rsidRPr="005479B4" w:rsidP="005479B4">
            <w:pPr>
              <w:pStyle w:val="BodyText"/>
            </w:pPr>
            <w:r w:rsidRPr="005479B4">
              <w:t>3.1</w:t>
            </w:r>
            <w:r w:rsidRPr="005479B4">
              <w:tab/>
              <w:t xml:space="preserve">Identify informal and formal complaints processes to assist client to ensure rights and entitlements are met </w:t>
            </w:r>
          </w:p>
          <w:p w:rsidR="00000000" w:rsidP="005479B4">
            <w:pPr>
              <w:pStyle w:val="BodyText"/>
              <w:rPr>
                <w:lang w:val="en-NZ"/>
              </w:rPr>
            </w:pPr>
            <w:r w:rsidRPr="005479B4">
              <w:t>3.2</w:t>
            </w:r>
            <w:r w:rsidRPr="005479B4">
              <w:tab/>
              <w:t>Identify appropriate hardship provisions relevant to client needs</w:t>
            </w:r>
          </w:p>
        </w:tc>
      </w:tr>
      <w:tr w:rsidTr="00E62E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479B4" w:rsidP="005479B4">
            <w:pPr>
              <w:pStyle w:val="BodyText"/>
            </w:pPr>
          </w:p>
        </w:tc>
      </w:tr>
    </w:tbl>
    <w:p w:rsidR="00E62EF2" w:rsidP="005479B4">
      <w:pPr>
        <w:pStyle w:val="BodyText"/>
      </w:pPr>
    </w:p>
    <w:p w:rsidR="00E62EF2" w:rsidP="005479B4">
      <w:pPr>
        <w:pStyle w:val="BodyText"/>
      </w:pPr>
    </w:p>
    <w:p w:rsidR="00000000" w:rsidRPr="005479B4" w:rsidP="005479B4">
      <w:pPr>
        <w:pStyle w:val="Heading1"/>
      </w:pPr>
      <w:bookmarkStart w:id="9" w:name="O_257836"/>
      <w:bookmarkEnd w:id="9"/>
      <w:r w:rsidRPr="005479B4">
        <w:t>Required Skills and Knowledge</w:t>
      </w:r>
    </w:p>
    <w:tbl>
      <w:tblPr>
        <w:tblW w:w="0" w:type="auto"/>
        <w:tblLayout w:type="fixed"/>
        <w:tblCellMar>
          <w:left w:w="62" w:type="dxa"/>
          <w:right w:w="62" w:type="dxa"/>
        </w:tblCellMar>
        <w:tblLook w:val="0000"/>
      </w:tblPr>
      <w:tblGrid>
        <w:gridCol w:w="9072"/>
      </w:tblGrid>
      <w:tr w:rsidTr="00E62EF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r w:rsidRPr="005479B4">
              <w:rPr>
                <w:rStyle w:val="SpecialBold"/>
              </w:rPr>
              <w:t>REQUIRED SKILLS AND KNOWLEDGE</w:t>
            </w:r>
          </w:p>
        </w:tc>
      </w:tr>
      <w:tr w:rsidTr="00E62E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p>
        </w:tc>
      </w:tr>
      <w:tr w:rsidTr="00E62E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r w:rsidRPr="005479B4">
              <w:t>This describes the essential skills and knowledge and their level required for this unit.</w:t>
            </w:r>
          </w:p>
        </w:tc>
      </w:tr>
      <w:tr w:rsidTr="00E62E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p>
        </w:tc>
      </w:tr>
      <w:tr w:rsidTr="00E62E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479B4" w:rsidP="005479B4">
            <w:pPr>
              <w:pStyle w:val="BodyText"/>
            </w:pPr>
            <w:r w:rsidRPr="005479B4">
              <w:rPr>
                <w:rStyle w:val="Emphasis"/>
              </w:rPr>
              <w:t>Essential knowledge</w:t>
            </w:r>
            <w:r w:rsidRPr="005479B4">
              <w:t>:</w:t>
            </w:r>
          </w:p>
          <w:p w:rsidR="00000000" w:rsidRPr="005479B4" w:rsidP="005479B4">
            <w:pPr>
              <w:pStyle w:val="BodyText"/>
            </w:pPr>
            <w:r w:rsidRPr="005479B4">
              <w:t xml:space="preserve">The candidate must be able to demonstrate essential knowledge required </w:t>
            </w:r>
            <w:r w:rsidRPr="005479B4">
              <w:t>to effectively do the task outlined in elements and performance criteria of this unit, manage the task and manage contingencies in the context of the identified work role</w:t>
            </w:r>
          </w:p>
          <w:p w:rsidR="00000000" w:rsidRPr="005479B4" w:rsidP="005479B4">
            <w:pPr>
              <w:pStyle w:val="BodyText"/>
            </w:pPr>
            <w:r w:rsidRPr="005479B4">
              <w:t>These include knowledge of:</w:t>
            </w:r>
          </w:p>
          <w:p w:rsidR="00000000" w:rsidRPr="005479B4" w:rsidP="005479B4">
            <w:pPr>
              <w:pStyle w:val="ListBullet"/>
            </w:pPr>
            <w:r w:rsidRPr="005479B4">
              <w:t>Advantages and disadvantages of debtor options consolidation</w:t>
            </w:r>
          </w:p>
          <w:p w:rsidR="00000000" w:rsidRPr="005479B4" w:rsidP="005479B4">
            <w:pPr>
              <w:pStyle w:val="ListBullet"/>
            </w:pPr>
            <w:r w:rsidRPr="005479B4">
              <w:t>Mobile phone and pay TV contracts, insurance, rental agreements for household goods</w:t>
            </w:r>
          </w:p>
          <w:p w:rsidR="00000000" w:rsidRPr="005479B4" w:rsidP="005479B4">
            <w:pPr>
              <w:pStyle w:val="ListBullet"/>
            </w:pPr>
            <w:r w:rsidRPr="005479B4">
              <w:t>Structural issues of debt</w:t>
            </w:r>
          </w:p>
          <w:p w:rsidR="00000000" w:rsidRPr="005479B4" w:rsidP="005479B4">
            <w:pPr>
              <w:pStyle w:val="ListBullet"/>
            </w:pPr>
            <w:r w:rsidRPr="005479B4">
              <w:t xml:space="preserve">Options for complaints </w:t>
            </w:r>
          </w:p>
          <w:p w:rsidR="00000000" w:rsidRPr="005479B4" w:rsidP="005479B4">
            <w:pPr>
              <w:pStyle w:val="ListBullet"/>
            </w:pPr>
            <w:r w:rsidRPr="005479B4">
              <w:t>Understanding of regulatory bodies, credit reference agencies</w:t>
            </w:r>
            <w:r w:rsidRPr="005479B4">
              <w:t xml:space="preserve"> and consumer advisory bodies </w:t>
            </w:r>
          </w:p>
          <w:p w:rsidR="00000000" w:rsidRPr="005479B4" w:rsidP="005479B4">
            <w:pPr>
              <w:pStyle w:val="ListBullet"/>
            </w:pPr>
            <w:r w:rsidRPr="005479B4">
              <w:t>Referrals</w:t>
            </w:r>
          </w:p>
          <w:p w:rsidR="00000000" w:rsidRPr="005479B4" w:rsidP="005479B4">
            <w:pPr>
              <w:pStyle w:val="ListBullet"/>
            </w:pPr>
            <w:r w:rsidRPr="005479B4">
              <w:t>Limits and boundaries</w:t>
            </w:r>
          </w:p>
          <w:p w:rsidR="00000000" w:rsidRPr="005479B4" w:rsidP="005479B4">
            <w:pPr>
              <w:pStyle w:val="ListBullet"/>
            </w:pPr>
            <w:r w:rsidRPr="005479B4">
              <w:t>Understanding credit</w:t>
            </w:r>
          </w:p>
          <w:p w:rsidR="00000000" w:rsidRPr="005479B4" w:rsidP="005479B4">
            <w:pPr>
              <w:pStyle w:val="ListBullet"/>
            </w:pPr>
            <w:r w:rsidRPr="005479B4">
              <w:t>Lo-doc and no-doc loans</w:t>
            </w:r>
          </w:p>
          <w:p w:rsidR="00000000" w:rsidRPr="005479B4" w:rsidP="005479B4">
            <w:pPr>
              <w:pStyle w:val="ListBullet"/>
            </w:pPr>
            <w:r w:rsidRPr="005479B4">
              <w:t xml:space="preserve">Consumer rights and responsibilities </w:t>
            </w:r>
          </w:p>
          <w:p w:rsidR="00000000" w:rsidRPr="005479B4" w:rsidP="005479B4">
            <w:pPr>
              <w:pStyle w:val="ListBullet"/>
            </w:pPr>
            <w:r w:rsidRPr="005479B4">
              <w:t xml:space="preserve">Superannuation </w:t>
            </w:r>
          </w:p>
          <w:p w:rsidR="00000000" w:rsidRPr="005479B4" w:rsidP="005479B4">
            <w:pPr>
              <w:pStyle w:val="ListBullet"/>
            </w:pPr>
            <w:r w:rsidRPr="005479B4">
              <w:t>Hardship options</w:t>
            </w:r>
          </w:p>
          <w:p w:rsidR="00000000" w:rsidRPr="005479B4" w:rsidP="005479B4">
            <w:pPr>
              <w:pStyle w:val="ListBullet"/>
            </w:pPr>
            <w:r w:rsidRPr="005479B4">
              <w:t>Cost of credit - simple and compound interest, interest charges and fees, def</w:t>
            </w:r>
            <w:r w:rsidRPr="005479B4">
              <w:t>ault fees, overdrawn fees, early termination fees, establishment fees</w:t>
            </w:r>
          </w:p>
          <w:p w:rsidR="00000000" w:rsidRPr="005479B4" w:rsidP="005479B4">
            <w:pPr>
              <w:pStyle w:val="ListBullet"/>
            </w:pPr>
            <w:r w:rsidRPr="005479B4">
              <w:t>Points plans and the true cost of credit</w:t>
            </w:r>
          </w:p>
          <w:p w:rsidR="00000000" w:rsidRPr="005479B4" w:rsidP="005479B4">
            <w:pPr>
              <w:pStyle w:val="ListBullet"/>
            </w:pPr>
            <w:r w:rsidRPr="005479B4">
              <w:t xml:space="preserve">Assumption of indebtedness and that use of credit </w:t>
            </w:r>
          </w:p>
          <w:p w:rsidR="00000000" w:rsidRPr="005479B4" w:rsidP="005479B4">
            <w:pPr>
              <w:pStyle w:val="ListBullet"/>
            </w:pPr>
            <w:r w:rsidRPr="005479B4">
              <w:t>Financial services perspective</w:t>
            </w:r>
          </w:p>
          <w:p w:rsidR="00000000" w:rsidRPr="005479B4" w:rsidP="005479B4">
            <w:pPr>
              <w:pStyle w:val="ListBullet"/>
            </w:pPr>
            <w:r w:rsidRPr="005479B4">
              <w:t>Targeting different client groups</w:t>
            </w:r>
          </w:p>
          <w:p w:rsidR="00000000" w:rsidRPr="005479B4" w:rsidP="005479B4">
            <w:pPr>
              <w:pStyle w:val="ListBullet"/>
            </w:pPr>
            <w:r w:rsidRPr="005479B4">
              <w:t>Structural/systemic causes of</w:t>
            </w:r>
            <w:r w:rsidRPr="005479B4">
              <w:t xml:space="preserve"> financial hardship </w:t>
            </w:r>
          </w:p>
          <w:p w:rsidR="00000000" w:rsidP="005479B4">
            <w:pPr>
              <w:pStyle w:val="ListBullet"/>
              <w:rPr>
                <w:lang w:val="en-NZ"/>
              </w:rPr>
            </w:pPr>
            <w:r w:rsidRPr="005479B4">
              <w:t xml:space="preserve">Relationship debt </w:t>
            </w:r>
          </w:p>
        </w:tc>
      </w:tr>
      <w:tr w:rsidTr="00E62E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p>
        </w:tc>
      </w:tr>
      <w:tr w:rsidTr="00E62E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479B4" w:rsidP="005479B4">
            <w:pPr>
              <w:pStyle w:val="BodyText"/>
            </w:pPr>
            <w:r w:rsidRPr="005479B4">
              <w:rPr>
                <w:rStyle w:val="Emphasis"/>
              </w:rPr>
              <w:t>Essential skills</w:t>
            </w:r>
            <w:r w:rsidRPr="005479B4">
              <w:t>:</w:t>
            </w:r>
          </w:p>
          <w:p w:rsidR="00000000" w:rsidRPr="005479B4" w:rsidP="005479B4">
            <w:pPr>
              <w:pStyle w:val="BodyText"/>
            </w:pPr>
            <w:r w:rsidRPr="005479B4">
              <w:t>It is critical that the candidate demonstrate the ability to:</w:t>
            </w:r>
          </w:p>
          <w:p w:rsidR="00000000" w:rsidRPr="005479B4" w:rsidP="005479B4">
            <w:pPr>
              <w:pStyle w:val="ListBullet"/>
            </w:pPr>
            <w:r w:rsidRPr="005479B4">
              <w:t xml:space="preserve">Use communication skills effectively, including active listening </w:t>
            </w:r>
          </w:p>
          <w:p w:rsidR="00000000" w:rsidRPr="005479B4" w:rsidP="005479B4">
            <w:pPr>
              <w:pStyle w:val="ListBullet"/>
            </w:pPr>
            <w:r w:rsidRPr="005479B4">
              <w:t>Know when to seek expert advice</w:t>
            </w:r>
          </w:p>
          <w:p w:rsidR="00000000" w:rsidRPr="005479B4" w:rsidP="005479B4">
            <w:pPr>
              <w:pStyle w:val="ListBullet"/>
            </w:pPr>
            <w:r w:rsidRPr="005479B4">
              <w:t>Use numerical and mathematical skills relevant to calculations of interest and loan repayments</w:t>
            </w:r>
          </w:p>
          <w:p w:rsidR="00000000" w:rsidRPr="005479B4" w:rsidP="005479B4">
            <w:pPr>
              <w:pStyle w:val="ListBullet"/>
            </w:pPr>
            <w:r w:rsidRPr="005479B4">
              <w:t>Work with others to develop own knowledge and expertise in personal credit management</w:t>
            </w:r>
          </w:p>
          <w:p w:rsidR="00000000" w:rsidRPr="005479B4" w:rsidP="005479B4">
            <w:pPr>
              <w:pStyle w:val="ListBullet"/>
            </w:pPr>
            <w:r w:rsidRPr="005479B4">
              <w:t>Explain basic concepts of credit and consumer documentation</w:t>
            </w:r>
          </w:p>
          <w:p w:rsidR="00000000" w:rsidRPr="005479B4" w:rsidP="005479B4">
            <w:pPr>
              <w:pStyle w:val="BodyText"/>
            </w:pPr>
          </w:p>
          <w:p w:rsidR="00000000" w:rsidRPr="005479B4" w:rsidP="005479B4">
            <w:pPr>
              <w:pStyle w:val="BodyText"/>
            </w:pPr>
            <w:r w:rsidRPr="005479B4">
              <w:t>In addition, t</w:t>
            </w:r>
            <w:r w:rsidRPr="005479B4">
              <w:t>he candidate must be able to effectively do the task outlined in elements and performance criteria of this unit, manage the task and manage contingencies in the context of the identified work role</w:t>
            </w:r>
          </w:p>
          <w:p w:rsidR="00000000" w:rsidRPr="005479B4" w:rsidP="005479B4">
            <w:pPr>
              <w:pStyle w:val="BodyText"/>
            </w:pPr>
            <w:r w:rsidRPr="005479B4">
              <w:t>These include the ability to:</w:t>
            </w:r>
          </w:p>
          <w:p w:rsidR="00000000" w:rsidRPr="005479B4" w:rsidP="005479B4">
            <w:pPr>
              <w:pStyle w:val="ListBullet"/>
            </w:pPr>
            <w:r w:rsidRPr="005479B4">
              <w:t>Demonstrate application of s</w:t>
            </w:r>
            <w:r w:rsidRPr="005479B4">
              <w:t>kills in:</w:t>
            </w:r>
          </w:p>
          <w:p w:rsidR="00000000" w:rsidRPr="005479B4" w:rsidP="005479B4">
            <w:pPr>
              <w:pStyle w:val="ListBullet2"/>
            </w:pPr>
            <w:r w:rsidRPr="005479B4">
              <w:t>liaison and networking</w:t>
            </w:r>
          </w:p>
          <w:p w:rsidR="00000000" w:rsidRPr="005479B4" w:rsidP="005479B4">
            <w:pPr>
              <w:pStyle w:val="ListBullet2"/>
            </w:pPr>
            <w:r w:rsidRPr="005479B4">
              <w:t xml:space="preserve">research </w:t>
            </w:r>
          </w:p>
          <w:p w:rsidR="00000000" w:rsidRPr="005479B4" w:rsidP="005479B4">
            <w:pPr>
              <w:pStyle w:val="ListBullet2"/>
            </w:pPr>
            <w:r w:rsidRPr="005479B4">
              <w:t>time management</w:t>
            </w:r>
          </w:p>
          <w:p w:rsidR="00000000" w:rsidRPr="005479B4" w:rsidP="005479B4">
            <w:pPr>
              <w:pStyle w:val="ListBullet2"/>
            </w:pPr>
            <w:r w:rsidRPr="005479B4">
              <w:t>evaluation</w:t>
            </w:r>
          </w:p>
          <w:p w:rsidR="00000000" w:rsidP="005479B4">
            <w:pPr>
              <w:pStyle w:val="ListBullet2"/>
              <w:rPr>
                <w:lang w:val="en-NZ"/>
              </w:rPr>
            </w:pPr>
            <w:r w:rsidRPr="005479B4">
              <w:t>presentation</w:t>
            </w:r>
          </w:p>
        </w:tc>
      </w:tr>
      <w:tr w:rsidTr="00E62E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479B4" w:rsidP="005479B4">
            <w:pPr>
              <w:pStyle w:val="BodyText"/>
            </w:pPr>
          </w:p>
        </w:tc>
      </w:tr>
    </w:tbl>
    <w:p w:rsidR="00E62EF2" w:rsidP="005479B4">
      <w:pPr>
        <w:pStyle w:val="BodyText"/>
      </w:pPr>
    </w:p>
    <w:p w:rsidR="00E62EF2" w:rsidP="005479B4">
      <w:pPr>
        <w:pStyle w:val="BodyText"/>
      </w:pPr>
    </w:p>
    <w:p w:rsidR="00000000" w:rsidRPr="005479B4" w:rsidP="005479B4">
      <w:pPr>
        <w:pStyle w:val="Heading1"/>
      </w:pPr>
      <w:bookmarkStart w:id="10" w:name="O_241870"/>
      <w:bookmarkEnd w:id="10"/>
      <w:r w:rsidRPr="005479B4">
        <w:t>Evidence Guide</w:t>
      </w:r>
    </w:p>
    <w:tbl>
      <w:tblPr>
        <w:tblW w:w="0" w:type="auto"/>
        <w:tblLayout w:type="fixed"/>
        <w:tblCellMar>
          <w:left w:w="62" w:type="dxa"/>
          <w:right w:w="62" w:type="dxa"/>
        </w:tblCellMar>
        <w:tblLook w:val="0000"/>
      </w:tblPr>
      <w:tblGrid>
        <w:gridCol w:w="3402"/>
        <w:gridCol w:w="5670"/>
      </w:tblGrid>
      <w:tr w:rsidTr="00E62EF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479B4">
            <w:pPr>
              <w:pStyle w:val="BodyText"/>
              <w:rPr>
                <w:lang w:val="en-NZ"/>
              </w:rPr>
            </w:pPr>
            <w:r w:rsidRPr="005479B4">
              <w:rPr>
                <w:rStyle w:val="SpecialBold"/>
              </w:rPr>
              <w:t>EVIDENCE GUIDE</w:t>
            </w:r>
          </w:p>
        </w:tc>
      </w:tr>
      <w:tr w:rsidTr="00E62E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79B4">
            <w:pPr>
              <w:pStyle w:val="BodyText"/>
              <w:rPr>
                <w:lang w:val="en-NZ"/>
              </w:rPr>
            </w:pPr>
          </w:p>
        </w:tc>
      </w:tr>
      <w:tr w:rsidTr="00E62E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79B4">
            <w:pPr>
              <w:pStyle w:val="BodyText"/>
              <w:rPr>
                <w:lang w:val="en-NZ"/>
              </w:rPr>
            </w:pPr>
            <w:r w:rsidRPr="005479B4">
              <w:t>The evidence guide provides advice on assessment and must be read in conjunction with the Perf</w:t>
            </w:r>
            <w:r w:rsidRPr="005479B4">
              <w:t>ormance Criteria, Required Skills and Knowledge, the Range Statement and the Assessment Guidelines for this Training Package.</w:t>
            </w:r>
          </w:p>
        </w:tc>
      </w:tr>
      <w:tr w:rsidTr="00E62E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79B4">
            <w:pPr>
              <w:pStyle w:val="BodyText"/>
              <w:rPr>
                <w:lang w:val="en-NZ"/>
              </w:rPr>
            </w:pPr>
          </w:p>
        </w:tc>
      </w:tr>
      <w:tr w:rsidTr="00E62E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r w:rsidRPr="005479B4">
              <w:rPr>
                <w:rStyle w:val="Emphasis"/>
              </w:rPr>
              <w:t>Critical aspects for assessment and evidence required to demonstrate this unit of competency</w:t>
            </w:r>
            <w:r w:rsidRPr="005479B4">
              <w:t xml:space="preserve">: </w:t>
            </w:r>
          </w:p>
        </w:tc>
        <w:tc>
          <w:tcPr>
            <w:tcW w:w="5670" w:type="dxa"/>
            <w:tcBorders>
              <w:top w:val="nil"/>
              <w:left w:val="nil"/>
              <w:bottom w:val="nil"/>
              <w:right w:val="nil"/>
            </w:tcBorders>
            <w:tcMar>
              <w:top w:w="0" w:type="dxa"/>
              <w:left w:w="62" w:type="dxa"/>
              <w:bottom w:w="0" w:type="dxa"/>
              <w:right w:w="62" w:type="dxa"/>
            </w:tcMar>
          </w:tcPr>
          <w:p w:rsidR="00000000" w:rsidRPr="005479B4" w:rsidP="005479B4">
            <w:pPr>
              <w:pStyle w:val="ListBullet"/>
            </w:pPr>
            <w:r w:rsidRPr="005479B4">
              <w:t>The individual being assessed</w:t>
            </w:r>
            <w:r w:rsidRPr="005479B4">
              <w:t xml:space="preserve"> must provide evidence of specified essential knowledge as well as skills</w:t>
            </w:r>
          </w:p>
          <w:p w:rsidR="00000000" w:rsidRPr="005479B4" w:rsidP="005479B4">
            <w:pPr>
              <w:pStyle w:val="ListBullet"/>
            </w:pPr>
            <w:r w:rsidRPr="005479B4">
              <w:t>This unit is best assessed in the workplace or in a simulated workplace under the normal of range conditions</w:t>
            </w:r>
          </w:p>
          <w:p w:rsidR="00000000" w:rsidP="005479B4">
            <w:pPr>
              <w:pStyle w:val="ListBullet"/>
              <w:rPr>
                <w:lang w:val="en-NZ"/>
              </w:rPr>
            </w:pPr>
            <w:r w:rsidRPr="005479B4">
              <w:t>Assessment should be gathered on one or more occasions but must reflect the normal range of client situations encountered in the workplace</w:t>
            </w:r>
          </w:p>
        </w:tc>
      </w:tr>
      <w:tr w:rsidTr="00E62E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p>
        </w:tc>
      </w:tr>
      <w:tr w:rsidTr="00E62E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r w:rsidRPr="005479B4">
              <w:rPr>
                <w:rStyle w:val="Emphasis"/>
              </w:rPr>
              <w:t>Access and equity considerations</w:t>
            </w:r>
            <w:r w:rsidRPr="005479B4">
              <w:t>:</w:t>
            </w:r>
          </w:p>
        </w:tc>
        <w:tc>
          <w:tcPr>
            <w:tcW w:w="5670" w:type="dxa"/>
            <w:tcBorders>
              <w:top w:val="nil"/>
              <w:left w:val="nil"/>
              <w:bottom w:val="nil"/>
              <w:right w:val="nil"/>
            </w:tcBorders>
            <w:tcMar>
              <w:top w:w="0" w:type="dxa"/>
              <w:left w:w="62" w:type="dxa"/>
              <w:bottom w:w="0" w:type="dxa"/>
              <w:right w:w="62" w:type="dxa"/>
            </w:tcMar>
          </w:tcPr>
          <w:p w:rsidR="00000000" w:rsidRPr="005479B4" w:rsidP="005479B4">
            <w:pPr>
              <w:pStyle w:val="ListBullet"/>
            </w:pPr>
            <w:r w:rsidRPr="005479B4">
              <w:t xml:space="preserve">All workers in community services should be aware of access, equity and human </w:t>
            </w:r>
            <w:r w:rsidRPr="005479B4">
              <w:t>rights issues in relation to their own area of work</w:t>
            </w:r>
          </w:p>
          <w:p w:rsidR="00000000" w:rsidRPr="005479B4" w:rsidP="005479B4">
            <w:pPr>
              <w:pStyle w:val="ListBullet"/>
            </w:pPr>
            <w:r w:rsidRPr="005479B4">
              <w:t xml:space="preserve">All workers should develop their ability to work in a culturally diverse environment </w:t>
            </w:r>
          </w:p>
          <w:p w:rsidR="00000000" w:rsidRPr="005479B4" w:rsidP="005479B4">
            <w:pPr>
              <w:pStyle w:val="ListBullet"/>
            </w:pPr>
            <w:r w:rsidRPr="005479B4">
              <w:t xml:space="preserve">In recognition of particular issues facing Aboriginal and Torres Strait Islander communities, workers should be aware </w:t>
            </w:r>
            <w:r w:rsidRPr="005479B4">
              <w:t>of cultural, historical and current issues impacting on Aboriginal and Torres Strait Islander people</w:t>
            </w:r>
          </w:p>
          <w:p w:rsidR="00000000" w:rsidP="005479B4">
            <w:pPr>
              <w:pStyle w:val="ListBullet"/>
              <w:rPr>
                <w:lang w:val="en-NZ"/>
              </w:rPr>
            </w:pPr>
            <w:r w:rsidRPr="005479B4">
              <w:t>Assessors and trainers must take into account relevant access and equity issues, in particular relating to factors impacting on Aboriginal and/or Torres St</w:t>
            </w:r>
            <w:r w:rsidRPr="005479B4">
              <w:t>rait Islander clients and communities</w:t>
            </w:r>
          </w:p>
        </w:tc>
      </w:tr>
      <w:tr w:rsidTr="00E62E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p>
        </w:tc>
      </w:tr>
      <w:tr w:rsidTr="00E62E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r w:rsidRPr="005479B4">
              <w:rPr>
                <w:rStyle w:val="Emphasis"/>
              </w:rPr>
              <w:t>Context of and specific resources for assessment</w:t>
            </w:r>
            <w:r w:rsidRPr="005479B4">
              <w:t xml:space="preserve">: </w:t>
            </w:r>
          </w:p>
        </w:tc>
        <w:tc>
          <w:tcPr>
            <w:tcW w:w="5670" w:type="dxa"/>
            <w:tcBorders>
              <w:top w:val="nil"/>
              <w:left w:val="nil"/>
              <w:bottom w:val="nil"/>
              <w:right w:val="nil"/>
            </w:tcBorders>
            <w:tcMar>
              <w:top w:w="0" w:type="dxa"/>
              <w:left w:w="62" w:type="dxa"/>
              <w:bottom w:w="0" w:type="dxa"/>
              <w:right w:w="62" w:type="dxa"/>
            </w:tcMar>
          </w:tcPr>
          <w:p w:rsidR="00000000" w:rsidRPr="005479B4" w:rsidP="005479B4">
            <w:pPr>
              <w:pStyle w:val="ListBullet"/>
            </w:pPr>
            <w:r w:rsidRPr="005479B4">
              <w:t>This unit can be assessed independently, however holistic assessment practice is encouraged with other community services units of competency, such as:</w:t>
            </w:r>
          </w:p>
          <w:p w:rsidR="00000000" w:rsidRPr="005479B4" w:rsidP="005479B4">
            <w:pPr>
              <w:pStyle w:val="ListBullet2"/>
            </w:pPr>
            <w:r w:rsidRPr="005479B4">
              <w:t>CHCFLE301A Work with clients needing financial literacy education</w:t>
            </w:r>
          </w:p>
          <w:p w:rsidR="00000000" w:rsidRPr="005479B4" w:rsidP="005479B4">
            <w:pPr>
              <w:pStyle w:val="ListBullet2"/>
            </w:pPr>
            <w:r w:rsidRPr="005479B4">
              <w:t>CHCFLE302A Educate clients in fundamental financial literacy skills</w:t>
            </w:r>
          </w:p>
          <w:p w:rsidR="00000000" w:rsidRPr="005479B4" w:rsidP="005479B4">
            <w:pPr>
              <w:pStyle w:val="ListBullet"/>
            </w:pPr>
            <w:r w:rsidRPr="005479B4">
              <w:t>Resources required for assessment of this unit include access to:</w:t>
            </w:r>
          </w:p>
          <w:p w:rsidR="00000000" w:rsidP="005479B4">
            <w:pPr>
              <w:pStyle w:val="ListBullet2"/>
              <w:rPr>
                <w:lang w:val="en-NZ"/>
              </w:rPr>
            </w:pPr>
            <w:r w:rsidRPr="005479B4">
              <w:t>an appropriate workplace where assessment can take pla</w:t>
            </w:r>
            <w:r w:rsidRPr="005479B4">
              <w:t>ce or simulation of realistic workplace setting for assessment</w:t>
            </w:r>
          </w:p>
        </w:tc>
      </w:tr>
      <w:tr w:rsidTr="00E62E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p>
        </w:tc>
      </w:tr>
      <w:tr w:rsidTr="00E62E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r w:rsidRPr="005479B4">
              <w:rPr>
                <w:rStyle w:val="Emphasis"/>
              </w:rPr>
              <w:t>Method of assessment</w:t>
            </w:r>
            <w:r w:rsidRPr="005479B4">
              <w:t>:</w:t>
            </w:r>
          </w:p>
        </w:tc>
        <w:tc>
          <w:tcPr>
            <w:tcW w:w="5670" w:type="dxa"/>
            <w:tcBorders>
              <w:top w:val="nil"/>
              <w:left w:val="nil"/>
              <w:bottom w:val="nil"/>
              <w:right w:val="nil"/>
            </w:tcBorders>
            <w:tcMar>
              <w:top w:w="0" w:type="dxa"/>
              <w:left w:w="62" w:type="dxa"/>
              <w:bottom w:w="0" w:type="dxa"/>
              <w:right w:w="62" w:type="dxa"/>
            </w:tcMar>
          </w:tcPr>
          <w:p w:rsidR="00000000" w:rsidRPr="005479B4" w:rsidP="005479B4">
            <w:pPr>
              <w:pStyle w:val="ListBullet"/>
            </w:pPr>
            <w:r w:rsidRPr="005479B4">
              <w:t xml:space="preserve">In cases where the learner does not have the opportunity to cover all relevant aspects </w:t>
            </w:r>
            <w:r w:rsidRPr="005479B4">
              <w:t>in the work environment, the remainder should be assessed through realistic simulations, projects, previous relevant experience or oral questioning on 'What if?' scenarios</w:t>
            </w:r>
          </w:p>
          <w:p w:rsidR="00000000" w:rsidRPr="005479B4" w:rsidP="005479B4">
            <w:pPr>
              <w:pStyle w:val="ListBullet"/>
            </w:pPr>
            <w:r w:rsidRPr="005479B4">
              <w:t>Assessment of this unit of competence will usually includ</w:t>
            </w:r>
            <w:r w:rsidRPr="005479B4">
              <w:t>e observation of processes and procedures, oral and/or written questioning on Essential knowledge and skills and consideration of required attitudes</w:t>
            </w:r>
          </w:p>
          <w:p w:rsidR="00000000" w:rsidP="005479B4">
            <w:pPr>
              <w:pStyle w:val="ListBullet"/>
              <w:rPr>
                <w:lang w:val="en-NZ"/>
              </w:rPr>
            </w:pPr>
            <w:r w:rsidRPr="005479B4">
              <w:t>Where performance is not directly observed and/or is required to be demonstrated over a 'period of time' an</w:t>
            </w:r>
            <w:r w:rsidRPr="005479B4">
              <w:t>d/or in a 'number of locations', any evidence should be authenticated by colleagues, supervisors, clients or other appropriate persons</w:t>
            </w:r>
          </w:p>
        </w:tc>
      </w:tr>
      <w:tr w:rsidTr="00E62E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479B4" w:rsidP="005479B4">
            <w:pPr>
              <w:pStyle w:val="BodyText"/>
            </w:pPr>
          </w:p>
        </w:tc>
      </w:tr>
    </w:tbl>
    <w:p w:rsidR="00E62EF2" w:rsidP="005479B4">
      <w:pPr>
        <w:pStyle w:val="BodyText"/>
      </w:pPr>
    </w:p>
    <w:p w:rsidR="00E62EF2" w:rsidP="005479B4">
      <w:pPr>
        <w:pStyle w:val="BodyText"/>
      </w:pPr>
    </w:p>
    <w:p w:rsidR="00000000" w:rsidRPr="005479B4" w:rsidP="005479B4">
      <w:pPr>
        <w:pStyle w:val="Heading1"/>
      </w:pPr>
      <w:bookmarkStart w:id="11" w:name="O_249853"/>
      <w:bookmarkEnd w:id="11"/>
      <w:r w:rsidRPr="005479B4">
        <w:t>Range Statement</w:t>
      </w:r>
    </w:p>
    <w:tbl>
      <w:tblPr>
        <w:tblW w:w="0" w:type="auto"/>
        <w:tblLayout w:type="fixed"/>
        <w:tblCellMar>
          <w:left w:w="62" w:type="dxa"/>
          <w:right w:w="62" w:type="dxa"/>
        </w:tblCellMar>
        <w:tblLook w:val="0000"/>
      </w:tblPr>
      <w:tblGrid>
        <w:gridCol w:w="3402"/>
        <w:gridCol w:w="5670"/>
      </w:tblGrid>
      <w:tr w:rsidTr="00E62EF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479B4">
            <w:pPr>
              <w:pStyle w:val="BodyText"/>
              <w:rPr>
                <w:lang w:val="en-NZ"/>
              </w:rPr>
            </w:pPr>
            <w:r w:rsidRPr="005479B4">
              <w:rPr>
                <w:rStyle w:val="SpecialBold"/>
              </w:rPr>
              <w:t>RANGE STATEMENT</w:t>
            </w:r>
          </w:p>
        </w:tc>
      </w:tr>
      <w:tr w:rsidTr="00E62E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79B4">
            <w:pPr>
              <w:pStyle w:val="BodyText"/>
              <w:rPr>
                <w:lang w:val="en-NZ"/>
              </w:rPr>
            </w:pPr>
          </w:p>
        </w:tc>
      </w:tr>
      <w:tr w:rsidTr="00E62E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79B4">
            <w:pPr>
              <w:pStyle w:val="BodyText"/>
              <w:rPr>
                <w:lang w:val="en-NZ"/>
              </w:rPr>
            </w:pPr>
            <w:r w:rsidRPr="005479B4">
              <w:t xml:space="preserve">The </w:t>
            </w:r>
            <w:r w:rsidRPr="005479B4">
              <w:t>Range Statement relates to the unit of competency as a whole. It allows for different work environments and situations that may affect performance. Add any essential operating conditions that may be present with training and assessment depending on the wor</w:t>
            </w:r>
            <w:r w:rsidRPr="005479B4">
              <w:t>k situation, needs of the candidate, accessibility of the item, and local industry and regional contexts.</w:t>
            </w:r>
          </w:p>
        </w:tc>
      </w:tr>
      <w:tr w:rsidTr="00E62E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p>
        </w:tc>
      </w:tr>
      <w:tr w:rsidTr="00E62E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r w:rsidRPr="005479B4">
              <w:rPr>
                <w:rStyle w:val="Emphasis"/>
              </w:rPr>
              <w:t>Client groups may include but are not limited to</w:t>
            </w:r>
            <w:r w:rsidRPr="005479B4">
              <w:t>:</w:t>
            </w:r>
          </w:p>
        </w:tc>
        <w:tc>
          <w:tcPr>
            <w:tcW w:w="5670" w:type="dxa"/>
            <w:tcBorders>
              <w:top w:val="nil"/>
              <w:left w:val="nil"/>
              <w:bottom w:val="nil"/>
              <w:right w:val="nil"/>
            </w:tcBorders>
            <w:tcMar>
              <w:top w:w="0" w:type="dxa"/>
              <w:left w:w="62" w:type="dxa"/>
              <w:bottom w:w="0" w:type="dxa"/>
              <w:right w:w="62" w:type="dxa"/>
            </w:tcMar>
          </w:tcPr>
          <w:p w:rsidR="00000000" w:rsidRPr="005479B4" w:rsidP="005479B4">
            <w:pPr>
              <w:pStyle w:val="ListBullet"/>
            </w:pPr>
            <w:r w:rsidRPr="005479B4">
              <w:t>Church and community groups</w:t>
            </w:r>
          </w:p>
          <w:p w:rsidR="00000000" w:rsidRPr="005479B4" w:rsidP="005479B4">
            <w:pPr>
              <w:pStyle w:val="ListBullet"/>
            </w:pPr>
            <w:r w:rsidRPr="005479B4">
              <w:t>Schools</w:t>
            </w:r>
          </w:p>
          <w:p w:rsidR="00000000" w:rsidP="005479B4">
            <w:pPr>
              <w:pStyle w:val="ListBullet"/>
              <w:rPr>
                <w:lang w:val="en-NZ"/>
              </w:rPr>
            </w:pPr>
            <w:r w:rsidRPr="005479B4">
              <w:t>Vulnerable and at risk client groups</w:t>
            </w:r>
          </w:p>
        </w:tc>
      </w:tr>
      <w:tr w:rsidTr="00E62E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p>
        </w:tc>
      </w:tr>
      <w:tr w:rsidTr="00E62E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r w:rsidRPr="005479B4">
              <w:rPr>
                <w:rStyle w:val="Emphasis"/>
              </w:rPr>
              <w:t>Causes of financial exclusion</w:t>
            </w:r>
            <w:r w:rsidRPr="005479B4">
              <w:t xml:space="preserve"> </w:t>
            </w:r>
            <w:r w:rsidRPr="005479B4">
              <w:rPr>
                <w:rStyle w:val="Emphasis"/>
              </w:rPr>
              <w:t>may relate to</w:t>
            </w:r>
            <w:r w:rsidRPr="005479B4">
              <w:t xml:space="preserve">, </w:t>
            </w:r>
            <w:r w:rsidRPr="005479B4">
              <w:rPr>
                <w:rStyle w:val="Emphasis"/>
              </w:rPr>
              <w:t>for example</w:t>
            </w:r>
            <w:r w:rsidRPr="005479B4">
              <w:t>:</w:t>
            </w:r>
          </w:p>
        </w:tc>
        <w:tc>
          <w:tcPr>
            <w:tcW w:w="5670" w:type="dxa"/>
            <w:tcBorders>
              <w:top w:val="nil"/>
              <w:left w:val="nil"/>
              <w:bottom w:val="nil"/>
              <w:right w:val="nil"/>
            </w:tcBorders>
            <w:tcMar>
              <w:top w:w="0" w:type="dxa"/>
              <w:left w:w="62" w:type="dxa"/>
              <w:bottom w:w="0" w:type="dxa"/>
              <w:right w:w="62" w:type="dxa"/>
            </w:tcMar>
          </w:tcPr>
          <w:p w:rsidR="00000000" w:rsidRPr="005479B4" w:rsidP="005479B4">
            <w:pPr>
              <w:pStyle w:val="ListBullet"/>
            </w:pPr>
            <w:r w:rsidRPr="005479B4">
              <w:t>Low levels of literacy and numeracy</w:t>
            </w:r>
          </w:p>
          <w:p w:rsidR="00000000" w:rsidRPr="005479B4" w:rsidP="005479B4">
            <w:pPr>
              <w:pStyle w:val="ListBullet"/>
            </w:pPr>
            <w:r w:rsidRPr="005479B4">
              <w:t>Mental health issues</w:t>
            </w:r>
          </w:p>
          <w:p w:rsidR="00000000" w:rsidRPr="005479B4" w:rsidP="005479B4">
            <w:pPr>
              <w:pStyle w:val="ListBullet"/>
            </w:pPr>
            <w:r w:rsidRPr="005479B4">
              <w:t>Cultural and language background</w:t>
            </w:r>
          </w:p>
          <w:p w:rsidR="00000000" w:rsidRPr="005479B4" w:rsidP="005479B4">
            <w:pPr>
              <w:pStyle w:val="ListBullet"/>
            </w:pPr>
            <w:r w:rsidRPr="005479B4">
              <w:t>Alcohol and other drugs (AOD) issues</w:t>
            </w:r>
          </w:p>
          <w:p w:rsidR="00000000" w:rsidRPr="005479B4" w:rsidP="005479B4">
            <w:pPr>
              <w:pStyle w:val="ListBullet"/>
            </w:pPr>
            <w:r w:rsidRPr="005479B4">
              <w:t>Domestic violence issues</w:t>
            </w:r>
          </w:p>
          <w:p w:rsidR="00000000" w:rsidRPr="005479B4" w:rsidP="005479B4">
            <w:pPr>
              <w:pStyle w:val="ListBullet"/>
            </w:pPr>
            <w:r w:rsidRPr="005479B4">
              <w:t>Age</w:t>
            </w:r>
          </w:p>
          <w:p w:rsidR="00000000" w:rsidP="005479B4">
            <w:pPr>
              <w:pStyle w:val="ListBullet"/>
              <w:rPr>
                <w:lang w:val="en-NZ"/>
              </w:rPr>
            </w:pPr>
            <w:r w:rsidRPr="005479B4">
              <w:t>High cost of credit, fees and charges</w:t>
            </w:r>
          </w:p>
        </w:tc>
      </w:tr>
      <w:tr w:rsidTr="00E62E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p>
        </w:tc>
      </w:tr>
      <w:tr w:rsidTr="00E62E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r w:rsidRPr="005479B4">
              <w:rPr>
                <w:rStyle w:val="Emphasis"/>
              </w:rPr>
              <w:t>Delivery of financial literacy education may include</w:t>
            </w:r>
            <w:r w:rsidRPr="005479B4">
              <w:t>:</w:t>
            </w:r>
          </w:p>
        </w:tc>
        <w:tc>
          <w:tcPr>
            <w:tcW w:w="5670" w:type="dxa"/>
            <w:tcBorders>
              <w:top w:val="nil"/>
              <w:left w:val="nil"/>
              <w:bottom w:val="nil"/>
              <w:right w:val="nil"/>
            </w:tcBorders>
            <w:tcMar>
              <w:top w:w="0" w:type="dxa"/>
              <w:left w:w="62" w:type="dxa"/>
              <w:bottom w:w="0" w:type="dxa"/>
              <w:right w:w="62" w:type="dxa"/>
            </w:tcMar>
          </w:tcPr>
          <w:p w:rsidR="00000000" w:rsidRPr="005479B4" w:rsidP="005479B4">
            <w:pPr>
              <w:pStyle w:val="ListBullet"/>
            </w:pPr>
            <w:r w:rsidRPr="005479B4">
              <w:t>Individuals</w:t>
            </w:r>
          </w:p>
          <w:p w:rsidR="00000000" w:rsidRPr="005479B4" w:rsidP="005479B4">
            <w:pPr>
              <w:pStyle w:val="ListBullet"/>
            </w:pPr>
            <w:r w:rsidRPr="005479B4">
              <w:t xml:space="preserve">Families </w:t>
            </w:r>
          </w:p>
          <w:p w:rsidR="00000000" w:rsidRPr="005479B4" w:rsidP="005479B4">
            <w:pPr>
              <w:pStyle w:val="ListBullet"/>
            </w:pPr>
            <w:r w:rsidRPr="005479B4">
              <w:t>Groups</w:t>
            </w:r>
          </w:p>
          <w:p w:rsidR="00000000" w:rsidP="005479B4">
            <w:pPr>
              <w:pStyle w:val="ListBullet"/>
              <w:rPr>
                <w:lang w:val="en-NZ"/>
              </w:rPr>
            </w:pPr>
            <w:r w:rsidRPr="005479B4">
              <w:t>Identified target communities and groups</w:t>
            </w:r>
          </w:p>
        </w:tc>
      </w:tr>
      <w:tr w:rsidTr="00E62E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p>
        </w:tc>
      </w:tr>
      <w:tr w:rsidTr="00E62E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79B4">
            <w:pPr>
              <w:pStyle w:val="BodyText"/>
              <w:rPr>
                <w:lang w:val="en-NZ"/>
              </w:rPr>
            </w:pPr>
            <w:r w:rsidRPr="005479B4">
              <w:rPr>
                <w:rStyle w:val="Emphasis"/>
              </w:rPr>
              <w:t>Paperwork may include</w:t>
            </w:r>
            <w:r w:rsidRPr="005479B4">
              <w:t>:</w:t>
            </w:r>
          </w:p>
        </w:tc>
        <w:tc>
          <w:tcPr>
            <w:tcW w:w="5670" w:type="dxa"/>
            <w:tcBorders>
              <w:top w:val="nil"/>
              <w:left w:val="nil"/>
              <w:bottom w:val="nil"/>
              <w:right w:val="nil"/>
            </w:tcBorders>
            <w:tcMar>
              <w:top w:w="0" w:type="dxa"/>
              <w:left w:w="62" w:type="dxa"/>
              <w:bottom w:w="0" w:type="dxa"/>
              <w:right w:w="62" w:type="dxa"/>
            </w:tcMar>
          </w:tcPr>
          <w:p w:rsidR="00000000" w:rsidRPr="005479B4" w:rsidP="005479B4">
            <w:pPr>
              <w:pStyle w:val="ListBullet"/>
            </w:pPr>
            <w:r w:rsidRPr="005479B4">
              <w:t>Utility accounts</w:t>
            </w:r>
          </w:p>
          <w:p w:rsidR="00000000" w:rsidRPr="005479B4" w:rsidP="005479B4">
            <w:pPr>
              <w:pStyle w:val="ListBullet"/>
            </w:pPr>
            <w:r w:rsidRPr="005479B4">
              <w:t>Bank statements</w:t>
            </w:r>
          </w:p>
          <w:p w:rsidR="00000000" w:rsidP="005479B4">
            <w:pPr>
              <w:pStyle w:val="ListBullet"/>
              <w:rPr>
                <w:lang w:val="en-NZ"/>
              </w:rPr>
            </w:pPr>
            <w:r w:rsidRPr="005479B4">
              <w:t xml:space="preserve">Insurance documentation </w:t>
            </w:r>
          </w:p>
        </w:tc>
      </w:tr>
      <w:tr w:rsidTr="00E62E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479B4" w:rsidP="005479B4">
            <w:pPr>
              <w:pStyle w:val="BodyText"/>
            </w:pPr>
          </w:p>
        </w:tc>
      </w:tr>
    </w:tbl>
    <w:p w:rsidR="00E62EF2" w:rsidP="005479B4">
      <w:pPr>
        <w:pStyle w:val="BodyText"/>
      </w:pPr>
    </w:p>
    <w:p w:rsidR="00E62EF2" w:rsidP="005479B4">
      <w:pPr>
        <w:pStyle w:val="BodyText"/>
      </w:pPr>
    </w:p>
    <w:p w:rsidR="00000000" w:rsidRPr="005479B4" w:rsidP="005479B4">
      <w:pPr>
        <w:pStyle w:val="Heading1"/>
      </w:pPr>
      <w:bookmarkStart w:id="12" w:name="O_294158"/>
      <w:bookmarkEnd w:id="12"/>
      <w:r w:rsidRPr="005479B4">
        <w:t>Unit Sector(s)</w:t>
      </w:r>
    </w:p>
    <w:p w:rsidR="00000000" w:rsidRPr="005479B4" w:rsidP="005479B4">
      <w:pPr>
        <w:pStyle w:val="BodyText"/>
      </w:pPr>
      <w:r w:rsidRPr="005479B4">
        <w:t>Not Applicable</w:t>
      </w:r>
    </w:p>
    <w:p w:rsidR="00000000" w:rsidRPr="005479B4" w:rsidP="005479B4"/>
    <w:sectPr w:rsidSect="005479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2EF2" w:rsidP="00E62E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F2" w:rsidP="005479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2EF2" w:rsidP="005479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62EF2" w:rsidP="005479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2EF2" w:rsidP="00E62E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F2" w:rsidP="005479B4">
    <w:pPr>
      <w:pStyle w:val="Header"/>
      <w:framePr w:wrap="around"/>
    </w:pPr>
    <w:r>
      <w:fldChar w:fldCharType="begin"/>
    </w:r>
    <w:r>
      <w:instrText xml:space="preserve"> TITLE   \* MERGEFORMAT </w:instrText>
    </w:r>
    <w:r>
      <w:fldChar w:fldCharType="separate"/>
    </w:r>
    <w:r>
      <w:t>CHCFLE303A Educate clients to understand debt and consumer credit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2EF2" w:rsidP="005479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6A1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F43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B2B2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9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79B4"/>
    <w:pPr>
      <w:spacing w:before="360" w:after="60"/>
      <w:outlineLvl w:val="0"/>
    </w:pPr>
    <w:rPr>
      <w:sz w:val="32"/>
    </w:rPr>
  </w:style>
  <w:style w:type="paragraph" w:styleId="Heading2">
    <w:name w:val="heading 2"/>
    <w:basedOn w:val="HeadingBase"/>
    <w:next w:val="BodyText"/>
    <w:link w:val="Heading2Char"/>
    <w:qFormat/>
    <w:rsid w:val="005479B4"/>
    <w:pPr>
      <w:keepLines/>
      <w:spacing w:before="240" w:after="120"/>
      <w:outlineLvl w:val="1"/>
    </w:pPr>
    <w:rPr>
      <w:sz w:val="28"/>
      <w:szCs w:val="40"/>
    </w:rPr>
  </w:style>
  <w:style w:type="paragraph" w:styleId="Heading3">
    <w:name w:val="heading 3"/>
    <w:basedOn w:val="HeadingBase"/>
    <w:next w:val="BodyText"/>
    <w:link w:val="Heading3Char"/>
    <w:qFormat/>
    <w:rsid w:val="005479B4"/>
    <w:pPr>
      <w:spacing w:before="180" w:after="120"/>
      <w:outlineLvl w:val="2"/>
    </w:pPr>
    <w:rPr>
      <w:spacing w:val="-10"/>
      <w:kern w:val="32"/>
    </w:rPr>
  </w:style>
  <w:style w:type="paragraph" w:styleId="Heading4">
    <w:name w:val="heading 4"/>
    <w:basedOn w:val="HeadingBase"/>
    <w:next w:val="BodyText"/>
    <w:link w:val="Heading4Char"/>
    <w:qFormat/>
    <w:rsid w:val="005479B4"/>
    <w:pPr>
      <w:spacing w:before="160" w:after="120"/>
      <w:outlineLvl w:val="3"/>
    </w:pPr>
    <w:rPr>
      <w:sz w:val="22"/>
    </w:rPr>
  </w:style>
  <w:style w:type="paragraph" w:styleId="Heading5">
    <w:name w:val="heading 5"/>
    <w:basedOn w:val="HeadingBase"/>
    <w:next w:val="Normal"/>
    <w:link w:val="Heading5Char"/>
    <w:qFormat/>
    <w:rsid w:val="005479B4"/>
    <w:pPr>
      <w:spacing w:before="80"/>
      <w:outlineLvl w:val="4"/>
    </w:pPr>
    <w:rPr>
      <w:color w:val="918585"/>
      <w:sz w:val="20"/>
    </w:rPr>
  </w:style>
  <w:style w:type="paragraph" w:styleId="Heading6">
    <w:name w:val="heading 6"/>
    <w:basedOn w:val="HeadingBase"/>
    <w:next w:val="Normal"/>
    <w:link w:val="Heading6Char"/>
    <w:qFormat/>
    <w:rsid w:val="005479B4"/>
    <w:pPr>
      <w:spacing w:before="60"/>
      <w:outlineLvl w:val="5"/>
    </w:pPr>
    <w:rPr>
      <w:color w:val="918585"/>
      <w:sz w:val="20"/>
    </w:rPr>
  </w:style>
  <w:style w:type="paragraph" w:styleId="Heading7">
    <w:name w:val="heading 7"/>
    <w:basedOn w:val="Normal"/>
    <w:next w:val="Normal"/>
    <w:link w:val="Heading7Char"/>
    <w:qFormat/>
    <w:rsid w:val="005479B4"/>
    <w:pPr>
      <w:ind w:left="720"/>
      <w:outlineLvl w:val="6"/>
    </w:pPr>
    <w:rPr>
      <w:i/>
    </w:rPr>
  </w:style>
  <w:style w:type="paragraph" w:styleId="Heading8">
    <w:name w:val="heading 8"/>
    <w:basedOn w:val="Normal"/>
    <w:next w:val="Normal"/>
    <w:link w:val="Heading8Char"/>
    <w:qFormat/>
    <w:rsid w:val="005479B4"/>
    <w:pPr>
      <w:ind w:left="720"/>
      <w:outlineLvl w:val="7"/>
    </w:pPr>
    <w:rPr>
      <w:i/>
    </w:rPr>
  </w:style>
  <w:style w:type="paragraph" w:styleId="Heading9">
    <w:name w:val="heading 9"/>
    <w:basedOn w:val="Normal"/>
    <w:next w:val="Normal"/>
    <w:link w:val="Heading9Char"/>
    <w:qFormat/>
    <w:rsid w:val="005479B4"/>
    <w:pPr>
      <w:ind w:left="720"/>
      <w:outlineLvl w:val="8"/>
    </w:pPr>
    <w:rPr>
      <w:i/>
    </w:rPr>
  </w:style>
  <w:style w:type="character" w:default="1" w:styleId="DefaultParagraphFont">
    <w:name w:val="Default Paragraph Font"/>
    <w:uiPriority w:val="1"/>
    <w:unhideWhenUsed/>
    <w:rsid w:val="005479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9B4"/>
  </w:style>
  <w:style w:type="character" w:customStyle="1" w:styleId="Heading1Char">
    <w:name w:val="Heading 1 Char"/>
    <w:basedOn w:val="DefaultParagraphFont"/>
    <w:link w:val="Heading1"/>
    <w:rsid w:val="005479B4"/>
    <w:rPr>
      <w:rFonts w:ascii="Times New Roman" w:eastAsia="Times New Roman" w:hAnsi="Times New Roman" w:cs="Times New Roman"/>
      <w:b/>
      <w:sz w:val="32"/>
      <w:szCs w:val="20"/>
      <w:lang w:eastAsia="en-US"/>
    </w:rPr>
  </w:style>
  <w:style w:type="paragraph" w:styleId="BodyText">
    <w:name w:val="Body Text"/>
    <w:basedOn w:val="Normal"/>
    <w:link w:val="BodyTextChar"/>
    <w:rsid w:val="005479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79B4"/>
    <w:rPr>
      <w:rFonts w:ascii="Times New Roman" w:eastAsia="Times New Roman" w:hAnsi="Times New Roman" w:cs="Times New Roman"/>
      <w:sz w:val="24"/>
      <w:lang w:val="en-US" w:eastAsia="en-US"/>
    </w:rPr>
  </w:style>
  <w:style w:type="paragraph" w:styleId="Footer">
    <w:name w:val="footer"/>
    <w:basedOn w:val="Normal"/>
    <w:link w:val="FooterChar"/>
    <w:rsid w:val="005479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9B4"/>
    <w:rPr>
      <w:rFonts w:ascii="Times New Roman" w:eastAsia="Times New Roman" w:hAnsi="Times New Roman" w:cs="Times New Roman"/>
      <w:sz w:val="16"/>
      <w:lang w:val="en-US" w:eastAsia="en-US"/>
    </w:rPr>
  </w:style>
  <w:style w:type="paragraph" w:styleId="List">
    <w:name w:val="List"/>
    <w:basedOn w:val="BodyText"/>
    <w:next w:val="BodyText"/>
    <w:rsid w:val="005479B4"/>
    <w:pPr>
      <w:tabs>
        <w:tab w:val="left" w:pos="340"/>
      </w:tabs>
      <w:spacing w:before="60" w:after="60"/>
      <w:ind w:left="340" w:hanging="340"/>
    </w:pPr>
  </w:style>
  <w:style w:type="paragraph" w:styleId="ListBullet">
    <w:name w:val="List Bullet"/>
    <w:basedOn w:val="List"/>
    <w:rsid w:val="005479B4"/>
    <w:pPr>
      <w:numPr>
        <w:numId w:val="13"/>
      </w:numPr>
      <w:tabs>
        <w:tab w:val="clear" w:pos="340"/>
      </w:tabs>
      <w:spacing w:before="40" w:after="40"/>
    </w:pPr>
  </w:style>
  <w:style w:type="character" w:customStyle="1" w:styleId="SpecialBold">
    <w:name w:val="Special Bold"/>
    <w:basedOn w:val="DefaultParagraphFont"/>
    <w:rsid w:val="005479B4"/>
    <w:rPr>
      <w:b/>
      <w:spacing w:val="0"/>
    </w:rPr>
  </w:style>
  <w:style w:type="paragraph" w:styleId="ListBullet2">
    <w:name w:val="List Bullet 2"/>
    <w:basedOn w:val="List2"/>
    <w:rsid w:val="005479B4"/>
    <w:pPr>
      <w:numPr>
        <w:numId w:val="14"/>
      </w:numPr>
      <w:tabs>
        <w:tab w:val="clear" w:pos="680"/>
      </w:tabs>
    </w:pPr>
  </w:style>
  <w:style w:type="paragraph" w:styleId="Header">
    <w:name w:val="header"/>
    <w:basedOn w:val="Normal"/>
    <w:link w:val="HeaderChar"/>
    <w:rsid w:val="005479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9B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479B4"/>
    <w:rPr>
      <w:i/>
    </w:rPr>
  </w:style>
  <w:style w:type="paragraph" w:customStyle="1" w:styleId="SuperHeading">
    <w:name w:val="SuperHeading"/>
    <w:basedOn w:val="Normal"/>
    <w:rsid w:val="005479B4"/>
    <w:pPr>
      <w:spacing w:before="240" w:after="120"/>
      <w:outlineLvl w:val="0"/>
    </w:pPr>
    <w:rPr>
      <w:rFonts w:ascii="Times New Roman" w:hAnsi="Times New Roman"/>
      <w:b/>
      <w:sz w:val="28"/>
    </w:rPr>
  </w:style>
  <w:style w:type="paragraph" w:customStyle="1" w:styleId="AllowPageBreak">
    <w:name w:val="AllowPageBreak"/>
    <w:rsid w:val="005479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79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9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9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9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9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9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79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79B4"/>
    <w:rPr>
      <w:rFonts w:ascii="Courier New" w:eastAsia="Times New Roman" w:hAnsi="Courier New" w:cs="Times New Roman"/>
      <w:i/>
      <w:szCs w:val="20"/>
      <w:lang w:val="en-US" w:eastAsia="en-US"/>
    </w:rPr>
  </w:style>
  <w:style w:type="paragraph" w:customStyle="1" w:styleId="HeadingBase">
    <w:name w:val="Heading Base"/>
    <w:rsid w:val="005479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9B4"/>
    <w:pPr>
      <w:tabs>
        <w:tab w:val="right" w:leader="dot" w:pos="9072"/>
      </w:tabs>
      <w:ind w:left="567"/>
    </w:pPr>
    <w:rPr>
      <w:szCs w:val="22"/>
    </w:rPr>
  </w:style>
  <w:style w:type="paragraph" w:customStyle="1" w:styleId="TOCBase">
    <w:name w:val="TOC Base"/>
    <w:rsid w:val="005479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9B4"/>
    <w:pPr>
      <w:tabs>
        <w:tab w:val="right" w:leader="dot" w:pos="9072"/>
      </w:tabs>
      <w:spacing w:before="40" w:after="40"/>
      <w:ind w:left="284"/>
    </w:pPr>
    <w:rPr>
      <w:rFonts w:ascii="Times New Roman" w:hAnsi="Times New Roman"/>
    </w:rPr>
  </w:style>
  <w:style w:type="paragraph" w:styleId="TOC1">
    <w:name w:val="toc 1"/>
    <w:basedOn w:val="TOCBase"/>
    <w:next w:val="Normal"/>
    <w:rsid w:val="005479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79B4"/>
    <w:pPr>
      <w:spacing w:before="5040"/>
      <w:jc w:val="center"/>
    </w:pPr>
    <w:rPr>
      <w:sz w:val="48"/>
      <w:szCs w:val="72"/>
      <w:lang w:val="en-US"/>
    </w:rPr>
  </w:style>
  <w:style w:type="character" w:customStyle="1" w:styleId="TitleChar">
    <w:name w:val="Title Char"/>
    <w:basedOn w:val="DefaultParagraphFont"/>
    <w:link w:val="Title"/>
    <w:rsid w:val="005479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9B4"/>
    <w:pPr>
      <w:tabs>
        <w:tab w:val="left" w:pos="3600"/>
        <w:tab w:val="left" w:pos="3958"/>
      </w:tabs>
    </w:pPr>
  </w:style>
  <w:style w:type="paragraph" w:customStyle="1" w:styleId="Note">
    <w:name w:val="Note"/>
    <w:basedOn w:val="BodyText"/>
    <w:rsid w:val="005479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9B4"/>
    <w:pPr>
      <w:framePr w:wrap="auto" w:hAnchor="text" w:y="6049"/>
    </w:pPr>
    <w:rPr>
      <w:color w:val="000000"/>
      <w:sz w:val="40"/>
    </w:rPr>
  </w:style>
  <w:style w:type="paragraph" w:customStyle="1" w:styleId="TOCTitle">
    <w:name w:val="TOCTitle"/>
    <w:basedOn w:val="Heading1"/>
    <w:rsid w:val="005479B4"/>
    <w:pPr>
      <w:spacing w:after="240"/>
      <w:jc w:val="center"/>
      <w:outlineLvl w:val="9"/>
    </w:pPr>
    <w:rPr>
      <w:caps/>
    </w:rPr>
  </w:style>
  <w:style w:type="paragraph" w:customStyle="1" w:styleId="Version">
    <w:name w:val="Version"/>
    <w:rsid w:val="005479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9B4"/>
    <w:pPr>
      <w:keepNext w:val="0"/>
      <w:tabs>
        <w:tab w:val="right" w:pos="4176"/>
      </w:tabs>
      <w:ind w:left="198" w:hanging="198"/>
    </w:pPr>
    <w:rPr>
      <w:rFonts w:ascii="Garamond" w:hAnsi="Garamond"/>
    </w:rPr>
  </w:style>
  <w:style w:type="paragraph" w:styleId="IndexHeading">
    <w:name w:val="index heading"/>
    <w:basedOn w:val="Normal"/>
    <w:next w:val="Index1"/>
    <w:semiHidden/>
    <w:rsid w:val="005479B4"/>
    <w:pPr>
      <w:spacing w:before="120" w:after="120"/>
    </w:pPr>
    <w:rPr>
      <w:rFonts w:ascii="Arial" w:hAnsi="Arial"/>
      <w:b/>
      <w:color w:val="918585"/>
      <w:sz w:val="24"/>
    </w:rPr>
  </w:style>
  <w:style w:type="paragraph" w:customStyle="1" w:styleId="Chapter">
    <w:name w:val="Chapter"/>
    <w:basedOn w:val="Normal"/>
    <w:rsid w:val="005479B4"/>
    <w:pPr>
      <w:spacing w:before="240"/>
    </w:pPr>
    <w:rPr>
      <w:rFonts w:ascii="Times New Roman" w:hAnsi="Times New Roman"/>
      <w:smallCaps/>
      <w:spacing w:val="80"/>
      <w:sz w:val="28"/>
    </w:rPr>
  </w:style>
  <w:style w:type="paragraph" w:customStyle="1" w:styleId="InChapter">
    <w:name w:val="InChapter"/>
    <w:basedOn w:val="Heading3"/>
    <w:rsid w:val="005479B4"/>
    <w:pPr>
      <w:spacing w:after="240"/>
      <w:outlineLvl w:val="9"/>
    </w:pPr>
    <w:rPr>
      <w:noProof/>
    </w:rPr>
  </w:style>
  <w:style w:type="paragraph" w:styleId="Index2">
    <w:name w:val="index 2"/>
    <w:basedOn w:val="Normal"/>
    <w:next w:val="Normal"/>
    <w:semiHidden/>
    <w:rsid w:val="005479B4"/>
    <w:pPr>
      <w:tabs>
        <w:tab w:val="right" w:pos="4176"/>
      </w:tabs>
      <w:ind w:left="568" w:hanging="284"/>
    </w:pPr>
    <w:rPr>
      <w:rFonts w:ascii="Garamond" w:hAnsi="Garamond"/>
    </w:rPr>
  </w:style>
  <w:style w:type="paragraph" w:customStyle="1" w:styleId="Byline">
    <w:name w:val="Byline"/>
    <w:rsid w:val="005479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9B4"/>
    <w:pPr>
      <w:tabs>
        <w:tab w:val="clear" w:pos="3600"/>
        <w:tab w:val="clear" w:pos="3958"/>
      </w:tabs>
      <w:jc w:val="right"/>
    </w:pPr>
  </w:style>
  <w:style w:type="paragraph" w:styleId="Caption">
    <w:name w:val="caption"/>
    <w:basedOn w:val="BodyText"/>
    <w:next w:val="Normal"/>
    <w:qFormat/>
    <w:rsid w:val="005479B4"/>
    <w:pPr>
      <w:framePr w:w="2268" w:hSpace="181" w:vSpace="181" w:wrap="around" w:vAnchor="text" w:hAnchor="page" w:x="1135" w:y="285" w:anchorLock="1"/>
    </w:pPr>
    <w:rPr>
      <w:i/>
    </w:rPr>
  </w:style>
  <w:style w:type="paragraph" w:customStyle="1" w:styleId="MiniTOCTitle">
    <w:name w:val="MiniTOCTitle"/>
    <w:basedOn w:val="Heading4"/>
    <w:rsid w:val="005479B4"/>
    <w:pPr>
      <w:spacing w:before="240"/>
      <w:outlineLvl w:val="9"/>
    </w:pPr>
    <w:rPr>
      <w:noProof/>
      <w:sz w:val="24"/>
    </w:rPr>
  </w:style>
  <w:style w:type="paragraph" w:customStyle="1" w:styleId="MiniTOCItem">
    <w:name w:val="MiniTOCItem"/>
    <w:basedOn w:val="ListBullet"/>
    <w:rsid w:val="005479B4"/>
    <w:pPr>
      <w:numPr>
        <w:numId w:val="0"/>
      </w:numPr>
      <w:tabs>
        <w:tab w:val="right" w:leader="dot" w:pos="6521"/>
      </w:tabs>
      <w:spacing w:before="0" w:after="0"/>
    </w:pPr>
  </w:style>
  <w:style w:type="paragraph" w:customStyle="1" w:styleId="TOFTitle">
    <w:name w:val="TOFTitle"/>
    <w:basedOn w:val="TOCTitle"/>
    <w:rsid w:val="005479B4"/>
  </w:style>
  <w:style w:type="paragraph" w:styleId="TableofFigures">
    <w:name w:val="table of figures"/>
    <w:basedOn w:val="Normal"/>
    <w:next w:val="Normal"/>
    <w:semiHidden/>
    <w:rsid w:val="005479B4"/>
    <w:pPr>
      <w:tabs>
        <w:tab w:val="right" w:leader="dot" w:pos="9072"/>
      </w:tabs>
      <w:ind w:left="970" w:hanging="403"/>
    </w:pPr>
    <w:rPr>
      <w:rFonts w:ascii="Times New Roman" w:hAnsi="Times New Roman"/>
      <w:b/>
    </w:rPr>
  </w:style>
  <w:style w:type="paragraph" w:styleId="ListNumber">
    <w:name w:val="List Number"/>
    <w:basedOn w:val="List"/>
    <w:rsid w:val="005479B4"/>
    <w:pPr>
      <w:numPr>
        <w:numId w:val="11"/>
      </w:numPr>
    </w:pPr>
  </w:style>
  <w:style w:type="character" w:customStyle="1" w:styleId="WingdingSymbols">
    <w:name w:val="Wingding Symbols"/>
    <w:rsid w:val="005479B4"/>
    <w:rPr>
      <w:rFonts w:ascii="Wingdings" w:hAnsi="Wingdings"/>
    </w:rPr>
  </w:style>
  <w:style w:type="paragraph" w:customStyle="1" w:styleId="TableHeading">
    <w:name w:val="Table Heading"/>
    <w:basedOn w:val="HeadingBase"/>
    <w:rsid w:val="005479B4"/>
    <w:pPr>
      <w:keepLines/>
      <w:pBdr>
        <w:bottom w:val="single" w:sz="6" w:space="1" w:color="918585"/>
      </w:pBdr>
      <w:spacing w:before="240"/>
    </w:pPr>
  </w:style>
  <w:style w:type="character" w:customStyle="1" w:styleId="HotSpot">
    <w:name w:val="HotSpot"/>
    <w:rsid w:val="005479B4"/>
    <w:rPr>
      <w:color w:val="0033CC"/>
      <w:u w:val="none"/>
    </w:rPr>
  </w:style>
  <w:style w:type="paragraph" w:customStyle="1" w:styleId="BodyTextRight">
    <w:name w:val="Body Text Right"/>
    <w:basedOn w:val="BodyText"/>
    <w:rsid w:val="005479B4"/>
    <w:pPr>
      <w:spacing w:before="0" w:after="0"/>
      <w:jc w:val="right"/>
    </w:pPr>
  </w:style>
  <w:style w:type="paragraph" w:styleId="Index3">
    <w:name w:val="index 3"/>
    <w:basedOn w:val="ListNumber2"/>
    <w:next w:val="Normal"/>
    <w:semiHidden/>
    <w:rsid w:val="005479B4"/>
    <w:pPr>
      <w:numPr>
        <w:numId w:val="0"/>
      </w:numPr>
      <w:tabs>
        <w:tab w:val="right" w:leader="dot" w:pos="4176"/>
      </w:tabs>
    </w:pPr>
  </w:style>
  <w:style w:type="paragraph" w:styleId="ListNumber2">
    <w:name w:val="List Number 2"/>
    <w:basedOn w:val="List2"/>
    <w:rsid w:val="005479B4"/>
    <w:pPr>
      <w:numPr>
        <w:numId w:val="10"/>
      </w:numPr>
      <w:tabs>
        <w:tab w:val="clear" w:pos="1060"/>
      </w:tabs>
    </w:pPr>
  </w:style>
  <w:style w:type="paragraph" w:customStyle="1" w:styleId="MarginNote">
    <w:name w:val="Margin Note"/>
    <w:basedOn w:val="BodyText"/>
    <w:rsid w:val="005479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9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9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79B4"/>
    <w:rPr>
      <w:sz w:val="32"/>
    </w:rPr>
  </w:style>
  <w:style w:type="paragraph" w:customStyle="1" w:styleId="HeadingProcedure">
    <w:name w:val="Heading Procedure"/>
    <w:basedOn w:val="HeadingBase"/>
    <w:next w:val="Normal"/>
    <w:rsid w:val="005479B4"/>
    <w:pPr>
      <w:tabs>
        <w:tab w:val="left" w:pos="0"/>
      </w:tabs>
      <w:spacing w:before="120" w:after="60"/>
    </w:pPr>
    <w:rPr>
      <w:i/>
      <w:color w:val="918585"/>
      <w:sz w:val="22"/>
    </w:rPr>
  </w:style>
  <w:style w:type="paragraph" w:customStyle="1" w:styleId="TableBodyText">
    <w:name w:val="Table Body Text"/>
    <w:basedOn w:val="BodyText"/>
    <w:rsid w:val="005479B4"/>
    <w:pPr>
      <w:spacing w:before="60" w:after="60"/>
    </w:pPr>
  </w:style>
  <w:style w:type="paragraph" w:styleId="ListContinue">
    <w:name w:val="List Continue"/>
    <w:basedOn w:val="List"/>
    <w:rsid w:val="005479B4"/>
    <w:pPr>
      <w:ind w:firstLine="0"/>
    </w:pPr>
  </w:style>
  <w:style w:type="paragraph" w:customStyle="1" w:styleId="ListNote">
    <w:name w:val="List Note"/>
    <w:basedOn w:val="List"/>
    <w:rsid w:val="005479B4"/>
    <w:pPr>
      <w:pBdr>
        <w:top w:val="single" w:sz="6" w:space="2" w:color="918585"/>
        <w:bottom w:val="single" w:sz="6" w:space="2" w:color="918585"/>
      </w:pBdr>
      <w:tabs>
        <w:tab w:val="left" w:pos="1021"/>
      </w:tabs>
      <w:ind w:firstLine="0"/>
    </w:pPr>
  </w:style>
  <w:style w:type="paragraph" w:customStyle="1" w:styleId="Warning">
    <w:name w:val="Warning"/>
    <w:basedOn w:val="BodyText"/>
    <w:rsid w:val="005479B4"/>
    <w:pPr>
      <w:shd w:val="clear" w:color="auto" w:fill="D9D9D9"/>
      <w:tabs>
        <w:tab w:val="left" w:pos="992"/>
      </w:tabs>
      <w:ind w:left="119" w:right="119"/>
    </w:pPr>
    <w:rPr>
      <w:sz w:val="20"/>
    </w:rPr>
  </w:style>
  <w:style w:type="paragraph" w:customStyle="1" w:styleId="MarginIcons">
    <w:name w:val="Margin Icons"/>
    <w:basedOn w:val="BodyText"/>
    <w:rsid w:val="005479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9B4"/>
    <w:rPr>
      <w:rFonts w:ascii="Courier New" w:hAnsi="Courier New"/>
    </w:rPr>
  </w:style>
  <w:style w:type="paragraph" w:customStyle="1" w:styleId="NoteBullet">
    <w:name w:val="Note Bullet"/>
    <w:basedOn w:val="Note"/>
    <w:rsid w:val="005479B4"/>
    <w:pPr>
      <w:tabs>
        <w:tab w:val="clear" w:pos="680"/>
      </w:tabs>
      <w:spacing w:before="60" w:after="60"/>
    </w:pPr>
  </w:style>
  <w:style w:type="paragraph" w:customStyle="1" w:styleId="SubHeading2">
    <w:name w:val="SubHeading2"/>
    <w:basedOn w:val="HeadingBase"/>
    <w:rsid w:val="005479B4"/>
    <w:pPr>
      <w:spacing w:before="240" w:after="60"/>
    </w:pPr>
    <w:rPr>
      <w:sz w:val="20"/>
    </w:rPr>
  </w:style>
  <w:style w:type="paragraph" w:customStyle="1" w:styleId="SubHeading1">
    <w:name w:val="SubHeading1"/>
    <w:basedOn w:val="HeadingBase"/>
    <w:rsid w:val="005479B4"/>
    <w:pPr>
      <w:spacing w:before="240" w:after="60"/>
    </w:pPr>
    <w:rPr>
      <w:color w:val="918585"/>
      <w:sz w:val="22"/>
    </w:rPr>
  </w:style>
  <w:style w:type="paragraph" w:customStyle="1" w:styleId="SideHeading">
    <w:name w:val="Side Heading"/>
    <w:basedOn w:val="HeadingBase"/>
    <w:rsid w:val="005479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9B4"/>
    <w:pPr>
      <w:numPr>
        <w:numId w:val="12"/>
      </w:numPr>
    </w:pPr>
  </w:style>
  <w:style w:type="paragraph" w:styleId="PlainText">
    <w:name w:val="Plain Text"/>
    <w:basedOn w:val="Normal"/>
    <w:link w:val="PlainTextChar"/>
    <w:rsid w:val="005479B4"/>
    <w:rPr>
      <w:sz w:val="20"/>
    </w:rPr>
  </w:style>
  <w:style w:type="character" w:customStyle="1" w:styleId="PlainTextChar">
    <w:name w:val="Plain Text Char"/>
    <w:basedOn w:val="DefaultParagraphFont"/>
    <w:link w:val="PlainText"/>
    <w:rsid w:val="005479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79B4"/>
    <w:rPr>
      <w:b/>
      <w:smallCaps/>
    </w:rPr>
  </w:style>
  <w:style w:type="paragraph" w:customStyle="1" w:styleId="TableListNumber">
    <w:name w:val="Table List Number"/>
    <w:basedOn w:val="ListNumber"/>
    <w:rsid w:val="005479B4"/>
    <w:pPr>
      <w:numPr>
        <w:numId w:val="0"/>
      </w:numPr>
    </w:pPr>
  </w:style>
  <w:style w:type="paragraph" w:styleId="TOC4">
    <w:name w:val="toc 4"/>
    <w:basedOn w:val="TOCBase"/>
    <w:next w:val="Normal"/>
    <w:semiHidden/>
    <w:rsid w:val="005479B4"/>
    <w:pPr>
      <w:tabs>
        <w:tab w:val="right" w:leader="dot" w:pos="9071"/>
      </w:tabs>
      <w:ind w:left="1701"/>
    </w:pPr>
  </w:style>
  <w:style w:type="paragraph" w:customStyle="1" w:styleId="ListAlpha">
    <w:name w:val="List Alpha"/>
    <w:basedOn w:val="List"/>
    <w:rsid w:val="005479B4"/>
    <w:pPr>
      <w:numPr>
        <w:numId w:val="9"/>
      </w:numPr>
    </w:pPr>
  </w:style>
  <w:style w:type="paragraph" w:customStyle="1" w:styleId="ListAlpha2">
    <w:name w:val="List Alpha 2"/>
    <w:basedOn w:val="List2"/>
    <w:rsid w:val="005479B4"/>
    <w:pPr>
      <w:numPr>
        <w:numId w:val="8"/>
      </w:numPr>
    </w:pPr>
  </w:style>
  <w:style w:type="paragraph" w:styleId="List2">
    <w:name w:val="List 2"/>
    <w:basedOn w:val="BodyText"/>
    <w:rsid w:val="005479B4"/>
    <w:pPr>
      <w:tabs>
        <w:tab w:val="left" w:pos="680"/>
      </w:tabs>
      <w:spacing w:before="60" w:after="60"/>
      <w:ind w:left="680" w:hanging="340"/>
    </w:pPr>
  </w:style>
  <w:style w:type="paragraph" w:styleId="List3">
    <w:name w:val="List 3"/>
    <w:basedOn w:val="BodyText"/>
    <w:rsid w:val="005479B4"/>
    <w:pPr>
      <w:tabs>
        <w:tab w:val="left" w:pos="1021"/>
      </w:tabs>
      <w:spacing w:before="60" w:after="60"/>
      <w:ind w:left="1020" w:hanging="340"/>
    </w:pPr>
  </w:style>
  <w:style w:type="paragraph" w:styleId="List4">
    <w:name w:val="List 4"/>
    <w:basedOn w:val="BodyText"/>
    <w:rsid w:val="005479B4"/>
    <w:pPr>
      <w:tabs>
        <w:tab w:val="left" w:pos="1361"/>
      </w:tabs>
      <w:spacing w:before="60" w:after="60"/>
      <w:ind w:left="1361" w:hanging="340"/>
    </w:pPr>
  </w:style>
  <w:style w:type="paragraph" w:styleId="List5">
    <w:name w:val="List 5"/>
    <w:basedOn w:val="BodyText"/>
    <w:rsid w:val="005479B4"/>
    <w:pPr>
      <w:tabs>
        <w:tab w:val="left" w:pos="1701"/>
      </w:tabs>
      <w:spacing w:before="60" w:after="60"/>
      <w:ind w:left="1701" w:hanging="340"/>
    </w:pPr>
  </w:style>
  <w:style w:type="paragraph" w:styleId="ListBullet3">
    <w:name w:val="List Bullet 3"/>
    <w:basedOn w:val="List3"/>
    <w:rsid w:val="005479B4"/>
    <w:pPr>
      <w:numPr>
        <w:numId w:val="15"/>
      </w:numPr>
      <w:tabs>
        <w:tab w:val="clear" w:pos="1021"/>
      </w:tabs>
      <w:ind w:left="1037" w:hanging="357"/>
    </w:pPr>
  </w:style>
  <w:style w:type="paragraph" w:styleId="ListBullet4">
    <w:name w:val="List Bullet 4"/>
    <w:basedOn w:val="List4"/>
    <w:rsid w:val="005479B4"/>
    <w:pPr>
      <w:numPr>
        <w:numId w:val="3"/>
      </w:numPr>
    </w:pPr>
  </w:style>
  <w:style w:type="paragraph" w:styleId="ListBullet5">
    <w:name w:val="List Bullet 5"/>
    <w:basedOn w:val="List5"/>
    <w:rsid w:val="005479B4"/>
    <w:pPr>
      <w:numPr>
        <w:numId w:val="4"/>
      </w:numPr>
    </w:pPr>
  </w:style>
  <w:style w:type="paragraph" w:styleId="ListContinue2">
    <w:name w:val="List Continue 2"/>
    <w:basedOn w:val="List2"/>
    <w:rsid w:val="005479B4"/>
    <w:pPr>
      <w:ind w:firstLine="0"/>
    </w:pPr>
  </w:style>
  <w:style w:type="paragraph" w:styleId="ListContinue3">
    <w:name w:val="List Continue 3"/>
    <w:basedOn w:val="List3"/>
    <w:rsid w:val="005479B4"/>
    <w:pPr>
      <w:ind w:left="1021" w:firstLine="0"/>
    </w:pPr>
  </w:style>
  <w:style w:type="paragraph" w:styleId="ListContinue4">
    <w:name w:val="List Continue 4"/>
    <w:basedOn w:val="List4"/>
    <w:rsid w:val="005479B4"/>
    <w:pPr>
      <w:ind w:firstLine="0"/>
    </w:pPr>
  </w:style>
  <w:style w:type="paragraph" w:styleId="ListContinue5">
    <w:name w:val="List Continue 5"/>
    <w:basedOn w:val="List5"/>
    <w:rsid w:val="005479B4"/>
    <w:pPr>
      <w:ind w:firstLine="0"/>
    </w:pPr>
  </w:style>
  <w:style w:type="paragraph" w:styleId="ListNumber3">
    <w:name w:val="List Number 3"/>
    <w:basedOn w:val="List3"/>
    <w:rsid w:val="005479B4"/>
    <w:pPr>
      <w:numPr>
        <w:numId w:val="5"/>
      </w:numPr>
    </w:pPr>
  </w:style>
  <w:style w:type="paragraph" w:styleId="ListNumber4">
    <w:name w:val="List Number 4"/>
    <w:basedOn w:val="List4"/>
    <w:rsid w:val="005479B4"/>
    <w:pPr>
      <w:numPr>
        <w:numId w:val="6"/>
      </w:numPr>
    </w:pPr>
  </w:style>
  <w:style w:type="paragraph" w:styleId="ListNumber5">
    <w:name w:val="List Number 5"/>
    <w:basedOn w:val="List5"/>
    <w:rsid w:val="005479B4"/>
    <w:pPr>
      <w:numPr>
        <w:numId w:val="7"/>
      </w:numPr>
    </w:pPr>
  </w:style>
  <w:style w:type="paragraph" w:styleId="BlockText">
    <w:name w:val="Block Text"/>
    <w:basedOn w:val="Normal"/>
    <w:rsid w:val="005479B4"/>
    <w:pPr>
      <w:spacing w:after="120"/>
      <w:ind w:left="1440" w:right="1440"/>
    </w:pPr>
  </w:style>
  <w:style w:type="character" w:customStyle="1" w:styleId="Subscript">
    <w:name w:val="Subscript"/>
    <w:basedOn w:val="DefaultParagraphFont"/>
    <w:rsid w:val="005479B4"/>
    <w:rPr>
      <w:sz w:val="16"/>
      <w:vertAlign w:val="subscript"/>
    </w:rPr>
  </w:style>
  <w:style w:type="character" w:customStyle="1" w:styleId="Superscript">
    <w:name w:val="Superscript"/>
    <w:basedOn w:val="DefaultParagraphFont"/>
    <w:rsid w:val="005479B4"/>
    <w:rPr>
      <w:sz w:val="16"/>
      <w:vertAlign w:val="superscript"/>
    </w:rPr>
  </w:style>
  <w:style w:type="character" w:customStyle="1" w:styleId="Symbols">
    <w:name w:val="Symbols"/>
    <w:basedOn w:val="DefaultParagraphFont"/>
    <w:rsid w:val="005479B4"/>
    <w:rPr>
      <w:rFonts w:ascii="Symbol" w:hAnsi="Symbol"/>
    </w:rPr>
  </w:style>
  <w:style w:type="character" w:customStyle="1" w:styleId="MenuOptions">
    <w:name w:val="Menu Options"/>
    <w:basedOn w:val="DefaultParagraphFont"/>
    <w:rsid w:val="005479B4"/>
    <w:rPr>
      <w:rFonts w:ascii="Arial Narrow" w:hAnsi="Arial Narrow"/>
      <w:smallCaps/>
    </w:rPr>
  </w:style>
  <w:style w:type="character" w:customStyle="1" w:styleId="Buttons">
    <w:name w:val="Buttons"/>
    <w:basedOn w:val="DefaultParagraphFont"/>
    <w:rsid w:val="005479B4"/>
    <w:rPr>
      <w:b/>
    </w:rPr>
  </w:style>
  <w:style w:type="character" w:customStyle="1" w:styleId="Underlined">
    <w:name w:val="Underlined"/>
    <w:basedOn w:val="DefaultParagraphFont"/>
    <w:rsid w:val="005479B4"/>
    <w:rPr>
      <w:u w:val="single"/>
    </w:rPr>
  </w:style>
  <w:style w:type="paragraph" w:customStyle="1" w:styleId="TableBodyTextRight">
    <w:name w:val="Table Body Text Right"/>
    <w:basedOn w:val="TableBodyText"/>
    <w:rsid w:val="005479B4"/>
    <w:pPr>
      <w:widowControl w:val="0"/>
      <w:autoSpaceDE w:val="0"/>
      <w:autoSpaceDN w:val="0"/>
      <w:adjustRightInd w:val="0"/>
      <w:jc w:val="right"/>
    </w:pPr>
    <w:rPr>
      <w:rFonts w:cs="Arial"/>
      <w:szCs w:val="18"/>
    </w:rPr>
  </w:style>
  <w:style w:type="paragraph" w:customStyle="1" w:styleId="CopyrightText">
    <w:name w:val="Copyright Text"/>
    <w:basedOn w:val="BodyText"/>
    <w:rsid w:val="005479B4"/>
    <w:rPr>
      <w:sz w:val="18"/>
    </w:rPr>
  </w:style>
  <w:style w:type="paragraph" w:customStyle="1" w:styleId="BodySmallRight">
    <w:name w:val="Body Small Right"/>
    <w:basedOn w:val="BodyTextRight"/>
    <w:rsid w:val="005479B4"/>
    <w:rPr>
      <w:sz w:val="18"/>
      <w:szCs w:val="18"/>
    </w:rPr>
  </w:style>
  <w:style w:type="paragraph" w:customStyle="1" w:styleId="MarginEdition">
    <w:name w:val="Margin Edition"/>
    <w:basedOn w:val="MarginNote"/>
    <w:rsid w:val="005479B4"/>
    <w:pPr>
      <w:spacing w:before="0" w:after="0"/>
    </w:pPr>
    <w:rPr>
      <w:rFonts w:ascii="Times New Roman" w:hAnsi="Times New Roman"/>
      <w:color w:val="999999"/>
    </w:rPr>
  </w:style>
  <w:style w:type="paragraph" w:customStyle="1" w:styleId="Spacer">
    <w:name w:val="Spacer"/>
    <w:basedOn w:val="Normal"/>
    <w:rsid w:val="005479B4"/>
    <w:rPr>
      <w:sz w:val="2"/>
      <w:szCs w:val="2"/>
    </w:rPr>
  </w:style>
  <w:style w:type="character" w:customStyle="1" w:styleId="Small">
    <w:name w:val="Small"/>
    <w:basedOn w:val="DefaultParagraphFont"/>
    <w:rsid w:val="005479B4"/>
    <w:rPr>
      <w:sz w:val="16"/>
    </w:rPr>
  </w:style>
  <w:style w:type="paragraph" w:customStyle="1" w:styleId="WideTable">
    <w:name w:val="Wide Table"/>
    <w:basedOn w:val="Normal"/>
    <w:rsid w:val="005479B4"/>
    <w:pPr>
      <w:ind w:left="-1418"/>
    </w:pPr>
    <w:rPr>
      <w:sz w:val="2"/>
      <w:szCs w:val="2"/>
    </w:rPr>
  </w:style>
  <w:style w:type="character" w:styleId="PageNumber">
    <w:name w:val="page number"/>
    <w:basedOn w:val="DefaultParagraphFont"/>
    <w:rsid w:val="005479B4"/>
  </w:style>
  <w:style w:type="paragraph" w:styleId="Quote">
    <w:name w:val="Quote"/>
    <w:basedOn w:val="Heading1"/>
    <w:link w:val="QuoteChar"/>
    <w:qFormat/>
    <w:rsid w:val="005479B4"/>
    <w:rPr>
      <w:b w:val="0"/>
      <w:sz w:val="72"/>
      <w:szCs w:val="72"/>
      <w:lang w:val="en-NZ"/>
    </w:rPr>
  </w:style>
  <w:style w:type="character" w:customStyle="1" w:styleId="QuoteChar">
    <w:name w:val="Quote Char"/>
    <w:basedOn w:val="DefaultParagraphFont"/>
    <w:link w:val="Quote"/>
    <w:rsid w:val="005479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9B4"/>
    <w:pPr>
      <w:pageBreakBefore/>
    </w:pPr>
  </w:style>
  <w:style w:type="paragraph" w:customStyle="1" w:styleId="Border">
    <w:name w:val="Border"/>
    <w:basedOn w:val="Normal"/>
    <w:qFormat/>
    <w:rsid w:val="005479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9B4"/>
    <w:rPr>
      <w:b/>
      <w:bCs/>
      <w:i/>
      <w:iCs/>
      <w:color w:val="auto"/>
    </w:rPr>
  </w:style>
  <w:style w:type="paragraph" w:styleId="IntenseQuote">
    <w:name w:val="Intense Quote"/>
    <w:basedOn w:val="Normal"/>
    <w:next w:val="Normal"/>
    <w:link w:val="IntenseQuoteChar"/>
    <w:uiPriority w:val="30"/>
    <w:qFormat/>
    <w:rsid w:val="005479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9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79B4"/>
    <w:rPr>
      <w:smallCaps/>
      <w:color w:val="auto"/>
      <w:u w:val="single"/>
    </w:rPr>
  </w:style>
  <w:style w:type="character" w:styleId="IntenseReference">
    <w:name w:val="Intense Reference"/>
    <w:basedOn w:val="DefaultParagraphFont"/>
    <w:uiPriority w:val="32"/>
    <w:qFormat/>
    <w:rsid w:val="005479B4"/>
    <w:rPr>
      <w:b/>
      <w:bCs/>
      <w:smallCaps/>
      <w:color w:val="auto"/>
      <w:spacing w:val="5"/>
      <w:u w:val="single"/>
    </w:rPr>
  </w:style>
  <w:style w:type="paragraph" w:customStyle="1" w:styleId="2ColumnHeading">
    <w:name w:val="2Column Heading"/>
    <w:basedOn w:val="BodyText"/>
    <w:qFormat/>
    <w:rsid w:val="005479B4"/>
    <w:pPr>
      <w:spacing w:after="60"/>
      <w:ind w:left="-2268"/>
    </w:pPr>
    <w:rPr>
      <w:b/>
    </w:rPr>
  </w:style>
  <w:style w:type="paragraph" w:customStyle="1" w:styleId="Heading1TOC">
    <w:name w:val="Heading1 TOC"/>
    <w:basedOn w:val="Normal"/>
    <w:qFormat/>
    <w:rsid w:val="005479B4"/>
    <w:pPr>
      <w:spacing w:before="240" w:after="120"/>
    </w:pPr>
    <w:rPr>
      <w:rFonts w:ascii="Times New Roman" w:hAnsi="Times New Roman"/>
      <w:b/>
      <w:sz w:val="32"/>
    </w:rPr>
  </w:style>
  <w:style w:type="paragraph" w:customStyle="1" w:styleId="Heading2TOC">
    <w:name w:val="Heading2 TOC"/>
    <w:basedOn w:val="Normal"/>
    <w:qFormat/>
    <w:rsid w:val="005479B4"/>
    <w:pPr>
      <w:spacing w:before="240" w:after="60"/>
    </w:pPr>
    <w:rPr>
      <w:rFonts w:ascii="Times New Roman" w:hAnsi="Times New Roman"/>
      <w:b/>
      <w:sz w:val="28"/>
    </w:rPr>
  </w:style>
  <w:style w:type="character" w:customStyle="1" w:styleId="Underline">
    <w:name w:val="Underline"/>
    <w:basedOn w:val="DefaultParagraphFont"/>
    <w:qFormat/>
    <w:rsid w:val="005479B4"/>
    <w:rPr>
      <w:u w:val="single"/>
    </w:rPr>
  </w:style>
  <w:style w:type="character" w:customStyle="1" w:styleId="BoldandItalics">
    <w:name w:val="Bold and Italics"/>
    <w:qFormat/>
    <w:rsid w:val="005479B4"/>
    <w:rPr>
      <w:b/>
      <w:i/>
      <w:u w:val="none"/>
    </w:rPr>
  </w:style>
  <w:style w:type="paragraph" w:styleId="BalloonText">
    <w:name w:val="Balloon Text"/>
    <w:basedOn w:val="Normal"/>
    <w:link w:val="BalloonTextChar"/>
    <w:rsid w:val="005479B4"/>
    <w:rPr>
      <w:rFonts w:ascii="Tahoma" w:hAnsi="Tahoma" w:cs="Tahoma"/>
      <w:sz w:val="16"/>
      <w:szCs w:val="16"/>
    </w:rPr>
  </w:style>
  <w:style w:type="character" w:customStyle="1" w:styleId="BalloonTextChar">
    <w:name w:val="Balloon Text Char"/>
    <w:basedOn w:val="DefaultParagraphFont"/>
    <w:link w:val="BalloonText"/>
    <w:rsid w:val="005479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79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79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1185</Words>
  <Characters>7171</Characters>
  <Application>Microsoft Office Word</Application>
  <DocSecurity>0</DocSecurity>
  <Lines>270</Lines>
  <Paragraphs>129</Paragraphs>
  <ScaleCrop>false</ScaleCrop>
  <Company>Author-it Software Corporation Ltd.</Company>
  <LinksUpToDate>false</LinksUpToDate>
  <CharactersWithSpaces>8312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CHCFLE303A Educate clients to understand debt and consumer credit</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2012-05-26T14:37:00Z</dcterms:created>
  <dcterms:modified xsi:type="dcterms:W3CDTF">2012-05-26T14:37:00Z</dcterms:modified>
</cp:coreProperties>
</file>