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6491" w:rsidP="00E66491">
      <w:pPr>
        <w:pStyle w:val="Title"/>
      </w:pPr>
      <w:r>
        <w:fldChar w:fldCharType="begin"/>
      </w:r>
      <w:r>
        <w:instrText xml:space="preserve"> TITLE   \* MERGEFORMAT </w:instrText>
      </w:r>
      <w:r>
        <w:fldChar w:fldCharType="separate"/>
      </w:r>
      <w:r>
        <w:t>CHCFLE301A Work with clients needing financial literacy education</w:t>
      </w:r>
      <w:r>
        <w:fldChar w:fldCharType="end"/>
      </w:r>
    </w:p>
    <w:p w:rsidR="00E66491" w:rsidP="00E66491">
      <w:pPr>
        <w:pStyle w:val="Version"/>
        <w:sectPr w:rsidSect="00AC66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66C0" w:rsidP="00AC66C0">
      <w:pPr>
        <w:pStyle w:val="SuperHeading"/>
      </w:pPr>
      <w:r w:rsidRPr="00AC66C0">
        <w:t>CHCFLE301A Work with clients needing financial literacy education</w:t>
      </w:r>
    </w:p>
    <w:p w:rsidR="00000000" w:rsidRPr="00AC66C0" w:rsidP="00AC66C0">
      <w:pPr>
        <w:pStyle w:val="Heading1"/>
      </w:pPr>
      <w:bookmarkStart w:id="1" w:name="O_269171"/>
      <w:bookmarkEnd w:id="1"/>
      <w:r w:rsidRPr="00AC66C0">
        <w:t>Modification History</w:t>
      </w:r>
    </w:p>
    <w:p w:rsidR="00000000" w:rsidRPr="00AC66C0" w:rsidP="00AC66C0">
      <w:pPr>
        <w:pStyle w:val="BodyText"/>
      </w:pPr>
      <w:r w:rsidRPr="00AC66C0">
        <w:t>Not Applicable</w:t>
      </w:r>
    </w:p>
    <w:p w:rsidR="00000000" w:rsidRPr="00AC66C0" w:rsidP="00AC66C0">
      <w:pPr>
        <w:pStyle w:val="AllowPageBreak"/>
      </w:pPr>
    </w:p>
    <w:p w:rsidR="00000000" w:rsidRPr="00AC66C0" w:rsidP="00AC66C0">
      <w:pPr>
        <w:pStyle w:val="Heading1"/>
      </w:pPr>
      <w:bookmarkStart w:id="2" w:name="O_195958"/>
      <w:bookmarkEnd w:id="2"/>
      <w:r w:rsidRPr="00AC66C0">
        <w:t>Unit Descriptor</w:t>
      </w:r>
    </w:p>
    <w:tbl>
      <w:tblPr>
        <w:tblW w:w="0" w:type="auto"/>
        <w:tblLayout w:type="fixed"/>
        <w:tblCellMar>
          <w:left w:w="62" w:type="dxa"/>
          <w:right w:w="62" w:type="dxa"/>
        </w:tblCellMar>
        <w:tblLook w:val="0000"/>
      </w:tblPr>
      <w:tblGrid>
        <w:gridCol w:w="3339"/>
        <w:gridCol w:w="5217"/>
      </w:tblGrid>
      <w:tr w:rsidTr="00E66491">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AC66C0">
            <w:pPr>
              <w:pStyle w:val="BodyText"/>
              <w:rPr>
                <w:lang w:val="en-NZ"/>
              </w:rPr>
            </w:pPr>
            <w:r w:rsidRPr="00AC66C0">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AC66C0" w:rsidP="00AC66C0">
            <w:pPr>
              <w:pStyle w:val="BodyText"/>
            </w:pPr>
            <w:r w:rsidRPr="00AC66C0">
              <w:t>This unit describes the skills and knowledge required to work in the community sector with</w:t>
            </w:r>
            <w:r w:rsidRPr="00AC66C0">
              <w:t xml:space="preserve"> clients requiring basic education in financial literacy </w:t>
            </w:r>
          </w:p>
        </w:tc>
      </w:tr>
    </w:tbl>
    <w:p w:rsidR="00E66491" w:rsidP="00AC66C0">
      <w:pPr>
        <w:pStyle w:val="BodyText"/>
      </w:pPr>
    </w:p>
    <w:p w:rsidR="00E66491" w:rsidP="00AC66C0">
      <w:pPr>
        <w:pStyle w:val="BodyText"/>
      </w:pPr>
    </w:p>
    <w:p w:rsidR="00000000" w:rsidRPr="00AC66C0" w:rsidP="00AC66C0">
      <w:pPr>
        <w:pStyle w:val="Heading1"/>
      </w:pPr>
      <w:bookmarkStart w:id="3" w:name="O_195960"/>
      <w:bookmarkEnd w:id="3"/>
      <w:r w:rsidRPr="00AC66C0">
        <w:t>Application of the Unit</w:t>
      </w:r>
    </w:p>
    <w:tbl>
      <w:tblPr>
        <w:tblW w:w="0" w:type="auto"/>
        <w:tblLayout w:type="fixed"/>
        <w:tblCellMar>
          <w:left w:w="62" w:type="dxa"/>
          <w:right w:w="62" w:type="dxa"/>
        </w:tblCellMar>
        <w:tblLook w:val="0000"/>
      </w:tblPr>
      <w:tblGrid>
        <w:gridCol w:w="3340"/>
        <w:gridCol w:w="5216"/>
      </w:tblGrid>
      <w:tr w:rsidTr="00E66491">
        <w:tblPrEx>
          <w:tblW w:w="0" w:type="auto"/>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AC66C0">
            <w:pPr>
              <w:pStyle w:val="BodyText"/>
              <w:rPr>
                <w:lang w:val="en-NZ"/>
              </w:rPr>
            </w:pPr>
            <w:r w:rsidRPr="00AC66C0">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AC66C0" w:rsidP="00AC66C0">
            <w:pPr>
              <w:pStyle w:val="BodyText"/>
            </w:pPr>
            <w:r w:rsidRPr="00AC66C0">
              <w:t>This unit is designed for application by workers in the community sector who may need to provide basic financial literacy education for client groups</w:t>
            </w:r>
          </w:p>
          <w:p w:rsidR="00000000" w:rsidRPr="00AC66C0" w:rsidP="00AC66C0">
            <w:pPr>
              <w:pStyle w:val="BodyText"/>
            </w:pPr>
            <w:r w:rsidRPr="00AC66C0">
              <w:t>Financial literacy education provides targeted information and resources to meet particular client needs</w:t>
            </w:r>
          </w:p>
          <w:p w:rsidR="00000000" w:rsidRPr="00AC66C0" w:rsidP="00AC66C0">
            <w:pPr>
              <w:pStyle w:val="BodyText"/>
            </w:pPr>
            <w:r w:rsidRPr="00AC66C0">
              <w:t>A</w:t>
            </w:r>
            <w:r w:rsidRPr="00AC66C0">
              <w:t xml:space="preserve">cquisition of financial literacy education competencies alone does not provide sufficient foundation to undertake complex financial literacy education or financial counselling </w:t>
            </w:r>
          </w:p>
          <w:p w:rsidR="00000000" w:rsidRPr="00AC66C0" w:rsidP="00AC66C0">
            <w:pPr>
              <w:pStyle w:val="BodyText"/>
            </w:pPr>
            <w:r w:rsidRPr="00AC66C0">
              <w:t xml:space="preserve">Where financial issues have the potential to become complex, clients should be </w:t>
            </w:r>
            <w:r w:rsidRPr="00AC66C0">
              <w:t xml:space="preserve">referred to a qualified financial counsellor </w:t>
            </w:r>
          </w:p>
        </w:tc>
      </w:tr>
    </w:tbl>
    <w:p w:rsidR="00E66491" w:rsidP="00AC66C0">
      <w:pPr>
        <w:pStyle w:val="BodyText"/>
      </w:pPr>
    </w:p>
    <w:p w:rsidR="00E66491" w:rsidP="00AC66C0">
      <w:pPr>
        <w:pStyle w:val="BodyText"/>
      </w:pPr>
    </w:p>
    <w:p w:rsidR="00000000" w:rsidRPr="00AC66C0" w:rsidP="00AC66C0">
      <w:pPr>
        <w:pStyle w:val="Heading1"/>
      </w:pPr>
      <w:bookmarkStart w:id="4" w:name="O_277431"/>
      <w:bookmarkEnd w:id="4"/>
      <w:r w:rsidRPr="00AC66C0">
        <w:t>Licensing/Regulatory Information</w:t>
      </w:r>
    </w:p>
    <w:p w:rsidR="00000000" w:rsidRPr="00AC66C0" w:rsidP="00AC66C0">
      <w:pPr>
        <w:pStyle w:val="BodyText"/>
      </w:pPr>
      <w:r w:rsidRPr="00AC66C0">
        <w:t>Not Applicable</w:t>
      </w:r>
    </w:p>
    <w:p w:rsidR="00000000" w:rsidRPr="00AC66C0" w:rsidP="00AC66C0">
      <w:pPr>
        <w:pStyle w:val="AllowPageBreak"/>
      </w:pPr>
    </w:p>
    <w:p w:rsidR="00000000" w:rsidRPr="00AC66C0" w:rsidP="00AC66C0">
      <w:pPr>
        <w:pStyle w:val="Heading1"/>
      </w:pPr>
      <w:bookmarkStart w:id="5" w:name="O_283271"/>
      <w:bookmarkEnd w:id="5"/>
      <w:r w:rsidRPr="00AC66C0">
        <w:t>Pre-Requisites</w:t>
      </w:r>
    </w:p>
    <w:p w:rsidR="00000000" w:rsidRPr="00AC66C0" w:rsidP="00AC66C0">
      <w:pPr>
        <w:pStyle w:val="BodyText"/>
      </w:pPr>
      <w:r w:rsidRPr="00AC66C0">
        <w:t>Not Applicable</w:t>
      </w:r>
    </w:p>
    <w:p w:rsidR="00000000" w:rsidRPr="00AC66C0" w:rsidP="00AC66C0">
      <w:pPr>
        <w:pStyle w:val="AllowPageBreak"/>
      </w:pPr>
    </w:p>
    <w:p w:rsidR="00000000" w:rsidRPr="00AC66C0" w:rsidP="00AC66C0">
      <w:pPr>
        <w:pStyle w:val="Heading1"/>
      </w:pPr>
      <w:bookmarkStart w:id="6" w:name="O_195959"/>
      <w:bookmarkEnd w:id="6"/>
      <w:r w:rsidRPr="00AC66C0">
        <w:t>Employability Skills Information</w:t>
      </w:r>
    </w:p>
    <w:tbl>
      <w:tblPr>
        <w:tblW w:w="0" w:type="auto"/>
        <w:tblLayout w:type="fixed"/>
        <w:tblCellMar>
          <w:left w:w="62" w:type="dxa"/>
          <w:right w:w="62" w:type="dxa"/>
        </w:tblCellMar>
        <w:tblLook w:val="0000"/>
      </w:tblPr>
      <w:tblGrid>
        <w:gridCol w:w="3320"/>
        <w:gridCol w:w="5236"/>
      </w:tblGrid>
      <w:tr w:rsidTr="00E66491">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C66C0">
            <w:pPr>
              <w:pStyle w:val="BodyText"/>
              <w:rPr>
                <w:lang w:val="en-NZ"/>
              </w:rPr>
            </w:pPr>
            <w:r w:rsidRPr="00AC66C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C66C0" w:rsidP="00AC66C0">
            <w:pPr>
              <w:pStyle w:val="BodyText"/>
            </w:pPr>
            <w:r w:rsidRPr="00AC66C0">
              <w:t>This unit contains Employability Skills</w:t>
            </w:r>
          </w:p>
        </w:tc>
      </w:tr>
    </w:tbl>
    <w:p w:rsidR="00E66491" w:rsidP="00AC66C0">
      <w:pPr>
        <w:pStyle w:val="BodyText"/>
      </w:pPr>
    </w:p>
    <w:p w:rsidR="00E66491" w:rsidP="00AC66C0">
      <w:pPr>
        <w:pStyle w:val="BodyText"/>
      </w:pPr>
    </w:p>
    <w:p w:rsidR="00000000" w:rsidRPr="00AC66C0" w:rsidP="00AC66C0">
      <w:pPr>
        <w:pStyle w:val="Heading1"/>
      </w:pPr>
      <w:bookmarkStart w:id="7" w:name="O_287217"/>
      <w:bookmarkEnd w:id="7"/>
      <w:r w:rsidRPr="00AC66C0">
        <w:t>Elements and Performance Criteria Pre-Content</w:t>
      </w:r>
    </w:p>
    <w:tbl>
      <w:tblPr>
        <w:tblW w:w="0" w:type="auto"/>
        <w:tblLayout w:type="fixed"/>
        <w:tblCellMar>
          <w:left w:w="62" w:type="dxa"/>
          <w:right w:w="62" w:type="dxa"/>
        </w:tblCellMar>
        <w:tblLook w:val="0000"/>
      </w:tblPr>
      <w:tblGrid>
        <w:gridCol w:w="3369"/>
        <w:gridCol w:w="5702"/>
      </w:tblGrid>
      <w:tr w:rsidTr="00E6649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C66C0">
            <w:pPr>
              <w:pStyle w:val="BodyText"/>
              <w:rPr>
                <w:lang w:val="en-NZ"/>
              </w:rPr>
            </w:pPr>
            <w:r w:rsidRPr="00AC66C0">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AC66C0" w:rsidP="00AC66C0">
            <w:pPr>
              <w:pStyle w:val="BodyText"/>
            </w:pPr>
            <w:r w:rsidRPr="00AC66C0">
              <w:t>The Performance Criteria specify the level of performance required to demonstrate achi</w:t>
            </w:r>
            <w:r w:rsidRPr="00AC66C0">
              <w:t xml:space="preserve">evement of the Element. Terms in italics are elaborated in the Range Statement. </w:t>
            </w:r>
          </w:p>
        </w:tc>
      </w:tr>
    </w:tbl>
    <w:p w:rsidR="00000000" w:rsidRPr="00AC66C0" w:rsidP="00AC66C0">
      <w:pPr>
        <w:pStyle w:val="BodyText"/>
      </w:pPr>
    </w:p>
    <w:p w:rsidR="00000000" w:rsidRPr="00AC66C0" w:rsidP="00AC66C0">
      <w:pPr>
        <w:pStyle w:val="AllowPageBreak"/>
      </w:pPr>
    </w:p>
    <w:p w:rsidR="00000000" w:rsidRPr="00AC66C0" w:rsidP="00AC66C0">
      <w:pPr>
        <w:pStyle w:val="Heading1"/>
      </w:pPr>
      <w:bookmarkStart w:id="8" w:name="O_233884"/>
      <w:bookmarkEnd w:id="8"/>
      <w:r w:rsidRPr="00AC66C0">
        <w:t>Elements and Performance Criteria</w:t>
      </w:r>
    </w:p>
    <w:tbl>
      <w:tblPr>
        <w:tblW w:w="0" w:type="auto"/>
        <w:tblLayout w:type="fixed"/>
        <w:tblCellMar>
          <w:left w:w="62" w:type="dxa"/>
          <w:right w:w="62" w:type="dxa"/>
        </w:tblCellMar>
        <w:tblLook w:val="0000"/>
      </w:tblPr>
      <w:tblGrid>
        <w:gridCol w:w="3369"/>
        <w:gridCol w:w="5702"/>
      </w:tblGrid>
      <w:tr w:rsidTr="00E66491">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C66C0" w:rsidP="00AC66C0">
            <w:pPr>
              <w:pStyle w:val="BodyText"/>
            </w:pPr>
            <w:r w:rsidRPr="00AC66C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C66C0">
            <w:pPr>
              <w:pStyle w:val="BodyText"/>
              <w:rPr>
                <w:lang w:val="en-NZ"/>
              </w:rPr>
            </w:pPr>
            <w:r w:rsidRPr="00AC66C0">
              <w:rPr>
                <w:rStyle w:val="SpecialBold"/>
              </w:rPr>
              <w:t>PERFORMANCE CRITERIA</w:t>
            </w:r>
          </w:p>
        </w:tc>
      </w:tr>
      <w:tr w:rsidTr="00E6649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C66C0">
            <w:pPr>
              <w:pStyle w:val="List"/>
              <w:rPr>
                <w:lang w:val="en-NZ"/>
              </w:rPr>
            </w:pPr>
            <w:r w:rsidRPr="00AC66C0">
              <w:t>1.</w:t>
            </w:r>
            <w:r w:rsidRPr="00AC66C0">
              <w:tab/>
              <w:t>Identify own values and attitudes in relation to personal financial management</w:t>
            </w:r>
          </w:p>
        </w:tc>
        <w:tc>
          <w:tcPr>
            <w:tcW w:w="5702" w:type="dxa"/>
            <w:tcBorders>
              <w:top w:val="nil"/>
              <w:left w:val="nil"/>
              <w:bottom w:val="nil"/>
              <w:right w:val="nil"/>
            </w:tcBorders>
            <w:tcMar>
              <w:top w:w="0" w:type="dxa"/>
              <w:left w:w="62" w:type="dxa"/>
              <w:bottom w:w="0" w:type="dxa"/>
              <w:right w:w="62" w:type="dxa"/>
            </w:tcMar>
          </w:tcPr>
          <w:p w:rsidR="00000000" w:rsidRPr="00AC66C0" w:rsidP="00AC66C0">
            <w:pPr>
              <w:pStyle w:val="BodyText"/>
            </w:pPr>
            <w:r w:rsidRPr="00AC66C0">
              <w:t>1.1</w:t>
            </w:r>
            <w:r w:rsidRPr="00AC66C0">
              <w:tab/>
            </w:r>
            <w:r w:rsidRPr="00AC66C0">
              <w:t xml:space="preserve">Identify influence of own values and attitudes towards money management </w:t>
            </w:r>
          </w:p>
          <w:p w:rsidR="00000000" w:rsidP="00AC66C0">
            <w:pPr>
              <w:pStyle w:val="BodyText"/>
              <w:rPr>
                <w:lang w:val="en-NZ"/>
              </w:rPr>
            </w:pPr>
            <w:r w:rsidRPr="00AC66C0">
              <w:t>1.2</w:t>
            </w:r>
            <w:r w:rsidRPr="00AC66C0">
              <w:tab/>
              <w:t>Recognise one's own budgeting and money management behaviours, and influence of significant others, in relation to money management</w:t>
            </w:r>
          </w:p>
        </w:tc>
      </w:tr>
      <w:tr w:rsidTr="00E6649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C66C0">
            <w:pPr>
              <w:pStyle w:val="BodyText"/>
              <w:rPr>
                <w:lang w:val="en-NZ"/>
              </w:rPr>
            </w:pPr>
          </w:p>
        </w:tc>
      </w:tr>
      <w:tr w:rsidTr="00E6649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C66C0">
            <w:pPr>
              <w:pStyle w:val="List"/>
              <w:rPr>
                <w:lang w:val="en-NZ"/>
              </w:rPr>
            </w:pPr>
            <w:r w:rsidRPr="00AC66C0">
              <w:t>2.</w:t>
            </w:r>
            <w:r w:rsidRPr="00AC66C0">
              <w:tab/>
            </w:r>
            <w:r w:rsidRPr="00AC66C0">
              <w:t>Identify roles and boundaries relevant to role of financial literacy education</w:t>
            </w:r>
          </w:p>
        </w:tc>
        <w:tc>
          <w:tcPr>
            <w:tcW w:w="5702" w:type="dxa"/>
            <w:tcBorders>
              <w:top w:val="nil"/>
              <w:left w:val="nil"/>
              <w:bottom w:val="nil"/>
              <w:right w:val="nil"/>
            </w:tcBorders>
            <w:tcMar>
              <w:top w:w="0" w:type="dxa"/>
              <w:left w:w="62" w:type="dxa"/>
              <w:bottom w:w="0" w:type="dxa"/>
              <w:right w:w="62" w:type="dxa"/>
            </w:tcMar>
          </w:tcPr>
          <w:p w:rsidR="00000000" w:rsidRPr="00AC66C0" w:rsidP="00AC66C0">
            <w:pPr>
              <w:pStyle w:val="BodyText"/>
            </w:pPr>
            <w:r w:rsidRPr="00AC66C0">
              <w:t>2.1</w:t>
            </w:r>
            <w:r w:rsidRPr="00AC66C0">
              <w:tab/>
              <w:t>Identify the role of a financial literacy educator</w:t>
            </w:r>
          </w:p>
          <w:p w:rsidR="00000000" w:rsidRPr="00AC66C0" w:rsidP="00AC66C0">
            <w:pPr>
              <w:pStyle w:val="BodyText"/>
            </w:pPr>
            <w:r w:rsidRPr="00AC66C0">
              <w:t>2.2</w:t>
            </w:r>
            <w:r w:rsidRPr="00AC66C0">
              <w:tab/>
              <w:t>Identify the information limits provided by financial literacy educators</w:t>
            </w:r>
          </w:p>
          <w:p w:rsidR="00000000" w:rsidP="00AC66C0">
            <w:pPr>
              <w:pStyle w:val="BodyText"/>
              <w:rPr>
                <w:lang w:val="en-NZ"/>
              </w:rPr>
            </w:pPr>
            <w:r w:rsidRPr="00AC66C0">
              <w:t>2.3</w:t>
            </w:r>
            <w:r w:rsidRPr="00AC66C0">
              <w:tab/>
              <w:t>Refer appropriately to specialist service</w:t>
            </w:r>
            <w:r w:rsidRPr="00AC66C0">
              <w:t>s</w:t>
            </w:r>
          </w:p>
        </w:tc>
      </w:tr>
      <w:tr w:rsidTr="00E6649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C66C0">
            <w:pPr>
              <w:pStyle w:val="BodyText"/>
              <w:rPr>
                <w:lang w:val="en-NZ"/>
              </w:rPr>
            </w:pPr>
          </w:p>
        </w:tc>
      </w:tr>
      <w:tr w:rsidTr="00E6649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C66C0">
            <w:pPr>
              <w:pStyle w:val="List"/>
              <w:rPr>
                <w:lang w:val="en-NZ"/>
              </w:rPr>
            </w:pPr>
            <w:r w:rsidRPr="00AC66C0">
              <w:t>3.</w:t>
            </w:r>
            <w:r w:rsidRPr="00AC66C0">
              <w:tab/>
              <w:t xml:space="preserve">Recognise the values and attitudes of diverse </w:t>
            </w:r>
            <w:r w:rsidRPr="00AC66C0">
              <w:rPr>
                <w:rStyle w:val="Emphasis"/>
              </w:rPr>
              <w:t>client groups</w:t>
            </w:r>
            <w:r w:rsidRPr="00AC66C0">
              <w:t xml:space="preserve"> in relation to financial management</w:t>
            </w:r>
          </w:p>
        </w:tc>
        <w:tc>
          <w:tcPr>
            <w:tcW w:w="5702" w:type="dxa"/>
            <w:tcBorders>
              <w:top w:val="nil"/>
              <w:left w:val="nil"/>
              <w:bottom w:val="nil"/>
              <w:right w:val="nil"/>
            </w:tcBorders>
            <w:tcMar>
              <w:top w:w="0" w:type="dxa"/>
              <w:left w:w="62" w:type="dxa"/>
              <w:bottom w:w="0" w:type="dxa"/>
              <w:right w:w="62" w:type="dxa"/>
            </w:tcMar>
          </w:tcPr>
          <w:p w:rsidR="00000000" w:rsidRPr="00AC66C0" w:rsidP="00AC66C0">
            <w:pPr>
              <w:pStyle w:val="BodyText"/>
            </w:pPr>
            <w:r w:rsidRPr="00AC66C0">
              <w:t>3.1</w:t>
            </w:r>
            <w:r w:rsidRPr="00AC66C0">
              <w:tab/>
              <w:t>Assist clients to identify influence of own values and attitudes towards money management</w:t>
            </w:r>
          </w:p>
          <w:p w:rsidR="00000000" w:rsidRPr="00AC66C0" w:rsidP="00AC66C0">
            <w:pPr>
              <w:pStyle w:val="BodyText"/>
            </w:pPr>
            <w:r w:rsidRPr="00AC66C0">
              <w:t>3.2</w:t>
            </w:r>
            <w:r w:rsidRPr="00AC66C0">
              <w:tab/>
              <w:t>Assist clients to identify their own money management</w:t>
            </w:r>
            <w:r w:rsidRPr="00AC66C0">
              <w:t xml:space="preserve"> styles, in relation to saving and spending</w:t>
            </w:r>
          </w:p>
          <w:p w:rsidR="00000000" w:rsidRPr="00AC66C0" w:rsidP="00AC66C0">
            <w:pPr>
              <w:pStyle w:val="BodyText"/>
            </w:pPr>
            <w:r w:rsidRPr="00AC66C0">
              <w:t>3.3</w:t>
            </w:r>
            <w:r w:rsidRPr="00AC66C0">
              <w:tab/>
              <w:t xml:space="preserve">Assist clients to identify any </w:t>
            </w:r>
            <w:r w:rsidRPr="00AC66C0">
              <w:rPr>
                <w:rStyle w:val="Emphasis"/>
              </w:rPr>
              <w:t>barriers to effective personal money management</w:t>
            </w:r>
          </w:p>
          <w:p w:rsidR="00000000" w:rsidP="00AC66C0">
            <w:pPr>
              <w:pStyle w:val="BodyText"/>
              <w:rPr>
                <w:lang w:val="en-NZ"/>
              </w:rPr>
            </w:pPr>
            <w:r w:rsidRPr="00AC66C0">
              <w:t>3.4</w:t>
            </w:r>
            <w:r w:rsidRPr="00AC66C0">
              <w:tab/>
              <w:t>Apply understanding of the role of money for different client groups</w:t>
            </w:r>
          </w:p>
        </w:tc>
      </w:tr>
      <w:tr w:rsidTr="00E6649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C66C0">
            <w:pPr>
              <w:pStyle w:val="BodyText"/>
              <w:rPr>
                <w:lang w:val="en-NZ"/>
              </w:rPr>
            </w:pPr>
          </w:p>
        </w:tc>
      </w:tr>
      <w:tr w:rsidTr="00E6649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C66C0">
            <w:pPr>
              <w:pStyle w:val="List"/>
              <w:rPr>
                <w:lang w:val="en-NZ"/>
              </w:rPr>
            </w:pPr>
            <w:r w:rsidRPr="00AC66C0">
              <w:t>4.</w:t>
            </w:r>
            <w:r w:rsidRPr="00AC66C0">
              <w:tab/>
              <w:t>Target financial literacy education to client nee</w:t>
            </w:r>
            <w:r w:rsidRPr="00AC66C0">
              <w:t>ds</w:t>
            </w:r>
          </w:p>
        </w:tc>
        <w:tc>
          <w:tcPr>
            <w:tcW w:w="5702" w:type="dxa"/>
            <w:tcBorders>
              <w:top w:val="nil"/>
              <w:left w:val="nil"/>
              <w:bottom w:val="nil"/>
              <w:right w:val="nil"/>
            </w:tcBorders>
            <w:tcMar>
              <w:top w:w="0" w:type="dxa"/>
              <w:left w:w="62" w:type="dxa"/>
              <w:bottom w:w="0" w:type="dxa"/>
              <w:right w:w="62" w:type="dxa"/>
            </w:tcMar>
          </w:tcPr>
          <w:p w:rsidR="00000000" w:rsidRPr="00AC66C0" w:rsidP="00AC66C0">
            <w:pPr>
              <w:pStyle w:val="BodyText"/>
            </w:pPr>
            <w:r w:rsidRPr="00AC66C0">
              <w:t>4.1.</w:t>
            </w:r>
            <w:r w:rsidRPr="00AC66C0">
              <w:tab/>
              <w:t xml:space="preserve">Identify specific needs of clients or target group in relation to financial literacy education </w:t>
            </w:r>
          </w:p>
          <w:p w:rsidR="00000000" w:rsidP="00AC66C0">
            <w:pPr>
              <w:pStyle w:val="BodyText"/>
              <w:rPr>
                <w:lang w:val="en-NZ"/>
              </w:rPr>
            </w:pPr>
            <w:r w:rsidRPr="00AC66C0">
              <w:t>4.2</w:t>
            </w:r>
            <w:r w:rsidRPr="00AC66C0">
              <w:tab/>
              <w:t>Identify specific money management issues relating to different target groups</w:t>
            </w:r>
          </w:p>
        </w:tc>
      </w:tr>
      <w:tr w:rsidTr="00E6649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AC66C0" w:rsidP="00AC66C0">
            <w:pPr>
              <w:pStyle w:val="BodyText"/>
            </w:pPr>
          </w:p>
        </w:tc>
      </w:tr>
    </w:tbl>
    <w:p w:rsidR="00E66491" w:rsidP="00AC66C0">
      <w:pPr>
        <w:pStyle w:val="BodyText"/>
      </w:pPr>
    </w:p>
    <w:p w:rsidR="00E66491" w:rsidP="00AC66C0">
      <w:pPr>
        <w:pStyle w:val="BodyText"/>
      </w:pPr>
    </w:p>
    <w:p w:rsidR="00000000" w:rsidRPr="00AC66C0" w:rsidP="00AC66C0">
      <w:pPr>
        <w:pStyle w:val="Heading1"/>
      </w:pPr>
      <w:bookmarkStart w:id="9" w:name="O_257834"/>
      <w:bookmarkEnd w:id="9"/>
      <w:r w:rsidRPr="00AC66C0">
        <w:t>Required Skills and Knowledge</w:t>
      </w:r>
    </w:p>
    <w:tbl>
      <w:tblPr>
        <w:tblW w:w="0" w:type="auto"/>
        <w:tblLayout w:type="fixed"/>
        <w:tblCellMar>
          <w:left w:w="62" w:type="dxa"/>
          <w:right w:w="62" w:type="dxa"/>
        </w:tblCellMar>
        <w:tblLook w:val="0000"/>
      </w:tblPr>
      <w:tblGrid>
        <w:gridCol w:w="9072"/>
      </w:tblGrid>
      <w:tr w:rsidTr="00E66491">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AC66C0">
            <w:pPr>
              <w:pStyle w:val="BodyText"/>
              <w:rPr>
                <w:lang w:val="en-NZ"/>
              </w:rPr>
            </w:pPr>
            <w:r w:rsidRPr="00AC66C0">
              <w:rPr>
                <w:rStyle w:val="SpecialBold"/>
              </w:rPr>
              <w:t>REQUIRED SKILLS AND KNOWLEDGE</w:t>
            </w:r>
          </w:p>
        </w:tc>
      </w:tr>
      <w:tr w:rsidTr="00E6649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C66C0">
            <w:pPr>
              <w:pStyle w:val="BodyText"/>
              <w:rPr>
                <w:lang w:val="en-NZ"/>
              </w:rPr>
            </w:pPr>
          </w:p>
        </w:tc>
      </w:tr>
      <w:tr w:rsidTr="00E6649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C66C0">
            <w:pPr>
              <w:pStyle w:val="BodyText"/>
              <w:rPr>
                <w:lang w:val="en-NZ"/>
              </w:rPr>
            </w:pPr>
            <w:r w:rsidRPr="00AC66C0">
              <w:t>This describes the essential skills and knowledge and their level required for this unit.</w:t>
            </w:r>
          </w:p>
        </w:tc>
      </w:tr>
      <w:tr w:rsidTr="00E6649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C66C0">
            <w:pPr>
              <w:pStyle w:val="BodyText"/>
              <w:rPr>
                <w:lang w:val="en-NZ"/>
              </w:rPr>
            </w:pPr>
          </w:p>
        </w:tc>
      </w:tr>
      <w:tr w:rsidTr="00E6649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C66C0" w:rsidP="00AC66C0">
            <w:pPr>
              <w:pStyle w:val="BodyText"/>
            </w:pPr>
            <w:r w:rsidRPr="00AC66C0">
              <w:rPr>
                <w:rStyle w:val="Emphasis"/>
              </w:rPr>
              <w:t>Essential knowledge</w:t>
            </w:r>
            <w:r w:rsidRPr="00AC66C0">
              <w:t>:</w:t>
            </w:r>
          </w:p>
          <w:p w:rsidR="00000000" w:rsidRPr="00AC66C0" w:rsidP="00AC66C0">
            <w:pPr>
              <w:pStyle w:val="BodyText"/>
            </w:pPr>
            <w:r w:rsidRPr="00AC66C0">
              <w:t>The candidate must be able to demonstrate essential knowledge required to effe</w:t>
            </w:r>
            <w:r w:rsidRPr="00AC66C0">
              <w:t>ctively do the task outlined in elements and performance criteria of this unit, manage the task and manage contingencies in the context of the identified work role</w:t>
            </w:r>
          </w:p>
          <w:p w:rsidR="00000000" w:rsidRPr="00AC66C0" w:rsidP="00AC66C0">
            <w:pPr>
              <w:pStyle w:val="BodyText"/>
            </w:pPr>
            <w:r w:rsidRPr="00AC66C0">
              <w:t>These include knowledge of:</w:t>
            </w:r>
          </w:p>
          <w:p w:rsidR="00000000" w:rsidRPr="00AC66C0" w:rsidP="00AC66C0">
            <w:pPr>
              <w:pStyle w:val="ListBullet"/>
            </w:pPr>
            <w:r w:rsidRPr="00AC66C0">
              <w:t>Understanding of money planning issues from a personal perspect</w:t>
            </w:r>
            <w:r w:rsidRPr="00AC66C0">
              <w:t>ive</w:t>
            </w:r>
          </w:p>
          <w:p w:rsidR="00000000" w:rsidRPr="00AC66C0" w:rsidP="00AC66C0">
            <w:pPr>
              <w:pStyle w:val="ListBullet"/>
            </w:pPr>
            <w:r w:rsidRPr="00AC66C0">
              <w:t>Non-judgemental values</w:t>
            </w:r>
          </w:p>
          <w:p w:rsidR="00000000" w:rsidRPr="00AC66C0" w:rsidP="00AC66C0">
            <w:pPr>
              <w:pStyle w:val="ListBullet"/>
            </w:pPr>
            <w:r w:rsidRPr="00AC66C0">
              <w:t>Role of a financial literacy educator</w:t>
            </w:r>
          </w:p>
          <w:p w:rsidR="00000000" w:rsidRPr="00AC66C0" w:rsidP="00AC66C0">
            <w:pPr>
              <w:pStyle w:val="ListBullet"/>
            </w:pPr>
            <w:r w:rsidRPr="00AC66C0">
              <w:t>Role of a financial counsellor</w:t>
            </w:r>
          </w:p>
          <w:p w:rsidR="00000000" w:rsidRPr="00AC66C0" w:rsidP="00AC66C0">
            <w:pPr>
              <w:pStyle w:val="ListBullet"/>
            </w:pPr>
            <w:r w:rsidRPr="00AC66C0">
              <w:t>Referrals to financial counselling and other specialist services</w:t>
            </w:r>
          </w:p>
          <w:p w:rsidR="00000000" w:rsidRPr="00AC66C0" w:rsidP="00AC66C0">
            <w:pPr>
              <w:pStyle w:val="ListBullet"/>
            </w:pPr>
            <w:r w:rsidRPr="00AC66C0">
              <w:t>Intergenerational poverty</w:t>
            </w:r>
          </w:p>
          <w:p w:rsidR="00000000" w:rsidRPr="00AC66C0" w:rsidP="00AC66C0">
            <w:pPr>
              <w:pStyle w:val="ListBullet"/>
            </w:pPr>
            <w:r w:rsidRPr="00AC66C0">
              <w:t>The role of money in society</w:t>
            </w:r>
          </w:p>
          <w:p w:rsidR="00000000" w:rsidRPr="00AC66C0" w:rsidP="00AC66C0">
            <w:pPr>
              <w:pStyle w:val="ListBullet"/>
            </w:pPr>
            <w:r w:rsidRPr="00AC66C0">
              <w:t>Broad range of values and attitudes in r</w:t>
            </w:r>
            <w:r w:rsidRPr="00AC66C0">
              <w:t>elation to money</w:t>
            </w:r>
          </w:p>
          <w:p w:rsidR="00000000" w:rsidRPr="00AC66C0" w:rsidP="00AC66C0">
            <w:pPr>
              <w:pStyle w:val="ListBullet"/>
            </w:pPr>
            <w:r w:rsidRPr="00AC66C0">
              <w:t>Inequality and the power structure</w:t>
            </w:r>
          </w:p>
          <w:p w:rsidR="00000000" w:rsidRPr="00AC66C0" w:rsidP="00AC66C0">
            <w:pPr>
              <w:pStyle w:val="ListBullet"/>
            </w:pPr>
            <w:r w:rsidRPr="00AC66C0">
              <w:t>Cultural differences in relation to understanding of money</w:t>
            </w:r>
          </w:p>
          <w:p w:rsidR="00000000" w:rsidRPr="00AC66C0" w:rsidP="00AC66C0">
            <w:pPr>
              <w:pStyle w:val="ListBullet"/>
            </w:pPr>
            <w:r w:rsidRPr="00AC66C0">
              <w:t>Technological issues associated with managing money</w:t>
            </w:r>
          </w:p>
          <w:p w:rsidR="00000000" w:rsidRPr="00AC66C0" w:rsidP="00AC66C0">
            <w:pPr>
              <w:pStyle w:val="ListBullet"/>
            </w:pPr>
            <w:r w:rsidRPr="00AC66C0">
              <w:t>Assessment and analysis of client needs</w:t>
            </w:r>
          </w:p>
          <w:p w:rsidR="00000000" w:rsidRPr="00AC66C0" w:rsidP="00AC66C0">
            <w:pPr>
              <w:pStyle w:val="ListBullet"/>
            </w:pPr>
            <w:r w:rsidRPr="00AC66C0">
              <w:t xml:space="preserve">Resources and support available within the community relating to personal money management </w:t>
            </w:r>
          </w:p>
          <w:p w:rsidR="00000000" w:rsidRPr="00AC66C0" w:rsidP="00AC66C0">
            <w:pPr>
              <w:pStyle w:val="ListBullet"/>
            </w:pPr>
            <w:r w:rsidRPr="00AC66C0">
              <w:t>Local demographics and their potential impact on client financial issues</w:t>
            </w:r>
          </w:p>
          <w:p w:rsidR="00000000" w:rsidP="00AC66C0">
            <w:pPr>
              <w:pStyle w:val="ListBullet"/>
              <w:rPr>
                <w:lang w:val="en-NZ"/>
              </w:rPr>
            </w:pPr>
            <w:r w:rsidRPr="00AC66C0">
              <w:t>Special needs of clients in relation to financial management</w:t>
            </w:r>
          </w:p>
        </w:tc>
      </w:tr>
      <w:tr w:rsidTr="00E6649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C66C0">
            <w:pPr>
              <w:pStyle w:val="BodyText"/>
              <w:rPr>
                <w:lang w:val="en-NZ"/>
              </w:rPr>
            </w:pPr>
          </w:p>
        </w:tc>
      </w:tr>
      <w:tr w:rsidTr="00E6649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C66C0" w:rsidP="00AC66C0">
            <w:pPr>
              <w:pStyle w:val="BodyText"/>
            </w:pPr>
            <w:r w:rsidRPr="00AC66C0">
              <w:rPr>
                <w:rStyle w:val="Emphasis"/>
              </w:rPr>
              <w:t>Essential skills</w:t>
            </w:r>
            <w:r w:rsidRPr="00AC66C0">
              <w:t>:</w:t>
            </w:r>
          </w:p>
          <w:p w:rsidR="00000000" w:rsidRPr="00AC66C0" w:rsidP="00AC66C0">
            <w:pPr>
              <w:pStyle w:val="BodyText"/>
            </w:pPr>
            <w:r w:rsidRPr="00AC66C0">
              <w:t>It is cri</w:t>
            </w:r>
            <w:r w:rsidRPr="00AC66C0">
              <w:t>tical that the candidate demonstrate the ability to:</w:t>
            </w:r>
          </w:p>
          <w:p w:rsidR="00000000" w:rsidRPr="00AC66C0" w:rsidP="00AC66C0">
            <w:pPr>
              <w:pStyle w:val="ListBullet"/>
            </w:pPr>
            <w:r w:rsidRPr="00AC66C0">
              <w:t>Demonstrate self awareness of personal money management styles</w:t>
            </w:r>
          </w:p>
          <w:p w:rsidR="00000000" w:rsidRPr="00AC66C0" w:rsidP="00AC66C0">
            <w:pPr>
              <w:pStyle w:val="ListBullet"/>
            </w:pPr>
            <w:r w:rsidRPr="00AC66C0">
              <w:t>Refer to specialist services as appropriate</w:t>
            </w:r>
          </w:p>
          <w:p w:rsidR="00000000" w:rsidRPr="00AC66C0" w:rsidP="00AC66C0">
            <w:pPr>
              <w:pStyle w:val="ListBullet"/>
            </w:pPr>
            <w:r w:rsidRPr="00AC66C0">
              <w:t>Demonstrate empathy to client groups experiencing financial difficulty and hardship</w:t>
            </w:r>
          </w:p>
          <w:p w:rsidR="00000000" w:rsidRPr="00AC66C0" w:rsidP="00AC66C0">
            <w:pPr>
              <w:pStyle w:val="ListBullet"/>
            </w:pPr>
            <w:r w:rsidRPr="00AC66C0">
              <w:t>Match education activities with community and individual needs and priorities</w:t>
            </w:r>
          </w:p>
          <w:p w:rsidR="00000000" w:rsidRPr="00AC66C0" w:rsidP="00AC66C0">
            <w:pPr>
              <w:pStyle w:val="ListBullet"/>
            </w:pPr>
            <w:r w:rsidRPr="00AC66C0">
              <w:t>Demonstrate collaboration and consultation with key people and organisations</w:t>
            </w:r>
          </w:p>
          <w:p w:rsidR="00000000" w:rsidRPr="00AC66C0" w:rsidP="00AC66C0">
            <w:pPr>
              <w:pStyle w:val="ListBullet"/>
            </w:pPr>
            <w:r w:rsidRPr="00AC66C0">
              <w:t>Identify financial literacy educational solutions to address client needs</w:t>
            </w:r>
          </w:p>
          <w:p w:rsidR="00000000" w:rsidRPr="00AC66C0" w:rsidP="00AC66C0">
            <w:pPr>
              <w:pStyle w:val="BodyText"/>
            </w:pPr>
          </w:p>
          <w:p w:rsidR="00000000" w:rsidRPr="00AC66C0" w:rsidP="00AC66C0">
            <w:pPr>
              <w:pStyle w:val="BodyText"/>
            </w:pPr>
            <w:r w:rsidRPr="00AC66C0">
              <w:t>In addition, the candidate</w:t>
            </w:r>
            <w:r w:rsidRPr="00AC66C0">
              <w:t xml:space="preserve"> must be able to effectively do the task outlined in elements and performance criteria of this unit, manage the task and manage contingencies in the context of the identified work role</w:t>
            </w:r>
          </w:p>
          <w:p w:rsidR="00000000" w:rsidRPr="00AC66C0" w:rsidP="00AC66C0">
            <w:pPr>
              <w:pStyle w:val="BodyText"/>
            </w:pPr>
            <w:r w:rsidRPr="00AC66C0">
              <w:t>These include the ability to:</w:t>
            </w:r>
          </w:p>
          <w:p w:rsidR="00000000" w:rsidRPr="00AC66C0" w:rsidP="00AC66C0">
            <w:pPr>
              <w:pStyle w:val="ListBullet"/>
            </w:pPr>
            <w:r w:rsidRPr="00AC66C0">
              <w:t>Demonstrate application of skills in:</w:t>
            </w:r>
          </w:p>
          <w:p w:rsidR="00000000" w:rsidRPr="00AC66C0" w:rsidP="00AC66C0">
            <w:pPr>
              <w:pStyle w:val="ListBullet2"/>
            </w:pPr>
            <w:r w:rsidRPr="00AC66C0">
              <w:t>l</w:t>
            </w:r>
            <w:r w:rsidRPr="00AC66C0">
              <w:t>iaison and networking</w:t>
            </w:r>
          </w:p>
          <w:p w:rsidR="00000000" w:rsidRPr="00AC66C0" w:rsidP="00AC66C0">
            <w:pPr>
              <w:pStyle w:val="ListBullet2"/>
            </w:pPr>
            <w:r w:rsidRPr="00AC66C0">
              <w:t>communication</w:t>
            </w:r>
          </w:p>
          <w:p w:rsidR="00000000" w:rsidRPr="00AC66C0" w:rsidP="00AC66C0">
            <w:pPr>
              <w:pStyle w:val="ListBullet2"/>
            </w:pPr>
            <w:r w:rsidRPr="00AC66C0">
              <w:t>research skills</w:t>
            </w:r>
          </w:p>
          <w:p w:rsidR="00000000" w:rsidRPr="00AC66C0" w:rsidP="00AC66C0">
            <w:pPr>
              <w:pStyle w:val="ListBullet2"/>
            </w:pPr>
            <w:r w:rsidRPr="00AC66C0">
              <w:t>time management</w:t>
            </w:r>
          </w:p>
          <w:p w:rsidR="00000000" w:rsidRPr="00AC66C0" w:rsidP="00AC66C0">
            <w:pPr>
              <w:pStyle w:val="ListBullet2"/>
            </w:pPr>
            <w:r w:rsidRPr="00AC66C0">
              <w:t>budgeting</w:t>
            </w:r>
          </w:p>
          <w:p w:rsidR="00000000" w:rsidRPr="00AC66C0" w:rsidP="00AC66C0">
            <w:pPr>
              <w:pStyle w:val="ListBullet2"/>
            </w:pPr>
            <w:r w:rsidRPr="00AC66C0">
              <w:t>evaluation</w:t>
            </w:r>
          </w:p>
          <w:p w:rsidR="00000000" w:rsidP="00AC66C0">
            <w:pPr>
              <w:pStyle w:val="ListBullet2"/>
              <w:rPr>
                <w:lang w:val="en-NZ"/>
              </w:rPr>
            </w:pPr>
            <w:r w:rsidRPr="00AC66C0">
              <w:t>presentation</w:t>
            </w:r>
          </w:p>
        </w:tc>
      </w:tr>
      <w:tr w:rsidTr="00E6649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C66C0" w:rsidP="00AC66C0">
            <w:pPr>
              <w:pStyle w:val="BodyText"/>
            </w:pPr>
          </w:p>
        </w:tc>
      </w:tr>
    </w:tbl>
    <w:p w:rsidR="00E66491" w:rsidP="00AC66C0">
      <w:pPr>
        <w:pStyle w:val="BodyText"/>
      </w:pPr>
    </w:p>
    <w:p w:rsidR="00E66491" w:rsidP="00AC66C0">
      <w:pPr>
        <w:pStyle w:val="BodyText"/>
      </w:pPr>
    </w:p>
    <w:p w:rsidR="00000000" w:rsidRPr="00AC66C0" w:rsidP="00AC66C0">
      <w:pPr>
        <w:pStyle w:val="Heading1"/>
      </w:pPr>
      <w:bookmarkStart w:id="10" w:name="O_241868"/>
      <w:bookmarkEnd w:id="10"/>
      <w:r w:rsidRPr="00AC66C0">
        <w:t>Evidence Guide</w:t>
      </w:r>
    </w:p>
    <w:tbl>
      <w:tblPr>
        <w:tblW w:w="0" w:type="auto"/>
        <w:tblLayout w:type="fixed"/>
        <w:tblCellMar>
          <w:left w:w="62" w:type="dxa"/>
          <w:right w:w="62" w:type="dxa"/>
        </w:tblCellMar>
        <w:tblLook w:val="0000"/>
      </w:tblPr>
      <w:tblGrid>
        <w:gridCol w:w="3402"/>
        <w:gridCol w:w="5670"/>
      </w:tblGrid>
      <w:tr w:rsidTr="00E6649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C66C0">
            <w:pPr>
              <w:pStyle w:val="BodyText"/>
              <w:rPr>
                <w:lang w:val="en-NZ"/>
              </w:rPr>
            </w:pPr>
            <w:r w:rsidRPr="00AC66C0">
              <w:rPr>
                <w:rStyle w:val="SpecialBold"/>
              </w:rPr>
              <w:t>EVIDENCE GUIDE</w:t>
            </w:r>
          </w:p>
        </w:tc>
      </w:tr>
      <w:tr w:rsidTr="00E6649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C66C0">
            <w:pPr>
              <w:pStyle w:val="BodyText"/>
              <w:rPr>
                <w:lang w:val="en-NZ"/>
              </w:rPr>
            </w:pPr>
          </w:p>
        </w:tc>
      </w:tr>
      <w:tr w:rsidTr="00E6649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C66C0">
            <w:pPr>
              <w:pStyle w:val="BodyText"/>
              <w:rPr>
                <w:lang w:val="en-NZ"/>
              </w:rPr>
            </w:pPr>
            <w:r w:rsidRPr="00AC66C0">
              <w:t>The evidence guide prov</w:t>
            </w:r>
            <w:r w:rsidRPr="00AC66C0">
              <w:t>ides advice on assessment and must be read in conjunction with the Performance Criteria, Required Skills and Knowledge, the Range Statement and the Assessment Guidelines for this Training Package.</w:t>
            </w:r>
          </w:p>
        </w:tc>
      </w:tr>
      <w:tr w:rsidTr="00E6649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C66C0">
            <w:pPr>
              <w:pStyle w:val="BodyText"/>
              <w:rPr>
                <w:lang w:val="en-NZ"/>
              </w:rPr>
            </w:pPr>
          </w:p>
        </w:tc>
      </w:tr>
      <w:tr w:rsidTr="00E664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C66C0">
            <w:pPr>
              <w:pStyle w:val="BodyText"/>
              <w:rPr>
                <w:lang w:val="en-NZ"/>
              </w:rPr>
            </w:pPr>
            <w:r w:rsidRPr="00AC66C0">
              <w:rPr>
                <w:rStyle w:val="Emphasis"/>
              </w:rPr>
              <w:t xml:space="preserve">Critical aspects for assessment and evidence required </w:t>
            </w:r>
            <w:r w:rsidRPr="00AC66C0">
              <w:rPr>
                <w:rStyle w:val="Emphasis"/>
              </w:rPr>
              <w:t>to demonstrate this unit of competency</w:t>
            </w:r>
            <w:r w:rsidRPr="00AC66C0">
              <w:t xml:space="preserve">: </w:t>
            </w:r>
          </w:p>
        </w:tc>
        <w:tc>
          <w:tcPr>
            <w:tcW w:w="5670" w:type="dxa"/>
            <w:tcBorders>
              <w:top w:val="nil"/>
              <w:left w:val="nil"/>
              <w:bottom w:val="nil"/>
              <w:right w:val="nil"/>
            </w:tcBorders>
            <w:tcMar>
              <w:top w:w="0" w:type="dxa"/>
              <w:left w:w="62" w:type="dxa"/>
              <w:bottom w:w="0" w:type="dxa"/>
              <w:right w:w="62" w:type="dxa"/>
            </w:tcMar>
          </w:tcPr>
          <w:p w:rsidR="00000000" w:rsidRPr="00AC66C0" w:rsidP="00AC66C0">
            <w:pPr>
              <w:pStyle w:val="ListBullet"/>
            </w:pPr>
            <w:r w:rsidRPr="00AC66C0">
              <w:t>The individual being assessed must provide evidence of specified essential knowledge as well as skills</w:t>
            </w:r>
          </w:p>
          <w:p w:rsidR="00000000" w:rsidRPr="00AC66C0" w:rsidP="00AC66C0">
            <w:pPr>
              <w:pStyle w:val="ListBullet"/>
            </w:pPr>
            <w:r w:rsidRPr="00AC66C0">
              <w:t>This unit is best assessed in the workplace or in a simulated workplace under the normal of range conditions</w:t>
            </w:r>
          </w:p>
          <w:p w:rsidR="00000000" w:rsidP="00AC66C0">
            <w:pPr>
              <w:pStyle w:val="ListBullet"/>
              <w:rPr>
                <w:lang w:val="en-NZ"/>
              </w:rPr>
            </w:pPr>
            <w:r w:rsidRPr="00AC66C0">
              <w:t>Assessment should be gathered on one or more occasions but must reflect the normal range of client situations encountered in the workplace</w:t>
            </w:r>
          </w:p>
        </w:tc>
      </w:tr>
      <w:tr w:rsidTr="00E664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C66C0">
            <w:pPr>
              <w:pStyle w:val="BodyText"/>
              <w:rPr>
                <w:lang w:val="en-NZ"/>
              </w:rPr>
            </w:pPr>
          </w:p>
        </w:tc>
      </w:tr>
      <w:tr w:rsidTr="00E664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C66C0">
            <w:pPr>
              <w:pStyle w:val="BodyText"/>
              <w:rPr>
                <w:lang w:val="en-NZ"/>
              </w:rPr>
            </w:pPr>
            <w:r w:rsidRPr="00AC66C0">
              <w:rPr>
                <w:rStyle w:val="Emphasis"/>
              </w:rPr>
              <w:t>Access and equity considerations</w:t>
            </w:r>
            <w:r w:rsidRPr="00AC66C0">
              <w:t>:</w:t>
            </w:r>
          </w:p>
        </w:tc>
        <w:tc>
          <w:tcPr>
            <w:tcW w:w="5670" w:type="dxa"/>
            <w:tcBorders>
              <w:top w:val="nil"/>
              <w:left w:val="nil"/>
              <w:bottom w:val="nil"/>
              <w:right w:val="nil"/>
            </w:tcBorders>
            <w:tcMar>
              <w:top w:w="0" w:type="dxa"/>
              <w:left w:w="62" w:type="dxa"/>
              <w:bottom w:w="0" w:type="dxa"/>
              <w:right w:w="62" w:type="dxa"/>
            </w:tcMar>
          </w:tcPr>
          <w:p w:rsidR="00000000" w:rsidRPr="00AC66C0" w:rsidP="00AC66C0">
            <w:pPr>
              <w:pStyle w:val="ListBullet"/>
            </w:pPr>
            <w:r w:rsidRPr="00AC66C0">
              <w:t xml:space="preserve">All workers in community services should be aware of access, equity and human </w:t>
            </w:r>
            <w:r w:rsidRPr="00AC66C0">
              <w:t>rights issues in relation to their own area of work</w:t>
            </w:r>
          </w:p>
          <w:p w:rsidR="00000000" w:rsidRPr="00AC66C0" w:rsidP="00AC66C0">
            <w:pPr>
              <w:pStyle w:val="ListBullet"/>
            </w:pPr>
            <w:r w:rsidRPr="00AC66C0">
              <w:t xml:space="preserve">All workers should develop their ability to work in a culturally diverse environment </w:t>
            </w:r>
          </w:p>
          <w:p w:rsidR="00000000" w:rsidRPr="00AC66C0" w:rsidP="00AC66C0">
            <w:pPr>
              <w:pStyle w:val="ListBullet"/>
            </w:pPr>
            <w:r w:rsidRPr="00AC66C0">
              <w:t xml:space="preserve">In recognition of particular issues facing Aboriginal and Torres Strait Islander communities, workers should be aware </w:t>
            </w:r>
            <w:r w:rsidRPr="00AC66C0">
              <w:t>of cultural, historical and current issues impacting on Aboriginal and Torres Strait Islander people</w:t>
            </w:r>
          </w:p>
          <w:p w:rsidR="00000000" w:rsidP="00AC66C0">
            <w:pPr>
              <w:pStyle w:val="ListBullet"/>
              <w:rPr>
                <w:lang w:val="en-NZ"/>
              </w:rPr>
            </w:pPr>
            <w:r w:rsidRPr="00AC66C0">
              <w:t>Assessors and trainers must take into account relevant access and equity issues, in particular relating to factors impacting on Aboriginal and/or Torres St</w:t>
            </w:r>
            <w:r w:rsidRPr="00AC66C0">
              <w:t>rait Islander clients and communities</w:t>
            </w:r>
          </w:p>
        </w:tc>
      </w:tr>
      <w:tr w:rsidTr="00E664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C66C0">
            <w:pPr>
              <w:pStyle w:val="BodyText"/>
              <w:rPr>
                <w:lang w:val="en-NZ"/>
              </w:rPr>
            </w:pPr>
          </w:p>
        </w:tc>
      </w:tr>
      <w:tr w:rsidTr="00E664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C66C0">
            <w:pPr>
              <w:pStyle w:val="BodyText"/>
              <w:rPr>
                <w:lang w:val="en-NZ"/>
              </w:rPr>
            </w:pPr>
            <w:r w:rsidRPr="00AC66C0">
              <w:rPr>
                <w:rStyle w:val="Emphasis"/>
              </w:rPr>
              <w:t>Context of and specific resources for assessment</w:t>
            </w:r>
            <w:r w:rsidRPr="00AC66C0">
              <w:t xml:space="preserve">: </w:t>
            </w:r>
          </w:p>
        </w:tc>
        <w:tc>
          <w:tcPr>
            <w:tcW w:w="5670" w:type="dxa"/>
            <w:tcBorders>
              <w:top w:val="nil"/>
              <w:left w:val="nil"/>
              <w:bottom w:val="nil"/>
              <w:right w:val="nil"/>
            </w:tcBorders>
            <w:tcMar>
              <w:top w:w="0" w:type="dxa"/>
              <w:left w:w="62" w:type="dxa"/>
              <w:bottom w:w="0" w:type="dxa"/>
              <w:right w:w="62" w:type="dxa"/>
            </w:tcMar>
          </w:tcPr>
          <w:p w:rsidR="00000000" w:rsidRPr="00AC66C0" w:rsidP="00AC66C0">
            <w:pPr>
              <w:pStyle w:val="ListBullet"/>
            </w:pPr>
            <w:r w:rsidRPr="00AC66C0">
              <w:t>This unit can be assessed independently, however holistic assessment practice is encouraged with other community services units of competency, such as:</w:t>
            </w:r>
          </w:p>
          <w:p w:rsidR="00000000" w:rsidRPr="00AC66C0" w:rsidP="00AC66C0">
            <w:pPr>
              <w:pStyle w:val="ListBullet2"/>
            </w:pPr>
            <w:r w:rsidRPr="00AC66C0">
              <w:t>CHCFLE302A Educate clients in fundamental financial literacy skills</w:t>
            </w:r>
          </w:p>
          <w:p w:rsidR="00000000" w:rsidRPr="00AC66C0" w:rsidP="00AC66C0">
            <w:pPr>
              <w:pStyle w:val="ListBullet2"/>
            </w:pPr>
            <w:r w:rsidRPr="00AC66C0">
              <w:t>CHCFLE303A Educate clients to understand debt and consumer credit</w:t>
            </w:r>
          </w:p>
          <w:p w:rsidR="00000000" w:rsidRPr="00AC66C0" w:rsidP="00AC66C0">
            <w:pPr>
              <w:pStyle w:val="ListBullet"/>
            </w:pPr>
            <w:r w:rsidRPr="00AC66C0">
              <w:t>Resources required for assessment of this unit include access to:</w:t>
            </w:r>
          </w:p>
          <w:p w:rsidR="00000000" w:rsidP="00AC66C0">
            <w:pPr>
              <w:pStyle w:val="ListBullet2"/>
              <w:rPr>
                <w:lang w:val="en-NZ"/>
              </w:rPr>
            </w:pPr>
            <w:r w:rsidRPr="00AC66C0">
              <w:t>an appropriate workplace where assessment can take pla</w:t>
            </w:r>
            <w:r w:rsidRPr="00AC66C0">
              <w:t>ce or simulation of realistic workplace setting for assessment</w:t>
            </w:r>
          </w:p>
        </w:tc>
      </w:tr>
      <w:tr w:rsidTr="00E664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C66C0">
            <w:pPr>
              <w:pStyle w:val="BodyText"/>
              <w:rPr>
                <w:lang w:val="en-NZ"/>
              </w:rPr>
            </w:pPr>
          </w:p>
        </w:tc>
      </w:tr>
      <w:tr w:rsidTr="00E664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C66C0">
            <w:pPr>
              <w:pStyle w:val="BodyText"/>
              <w:rPr>
                <w:lang w:val="en-NZ"/>
              </w:rPr>
            </w:pPr>
            <w:r w:rsidRPr="00AC66C0">
              <w:rPr>
                <w:rStyle w:val="Emphasis"/>
              </w:rPr>
              <w:t>Method of assessment</w:t>
            </w:r>
            <w:r w:rsidRPr="00AC66C0">
              <w:t>:</w:t>
            </w:r>
          </w:p>
        </w:tc>
        <w:tc>
          <w:tcPr>
            <w:tcW w:w="5670" w:type="dxa"/>
            <w:tcBorders>
              <w:top w:val="nil"/>
              <w:left w:val="nil"/>
              <w:bottom w:val="nil"/>
              <w:right w:val="nil"/>
            </w:tcBorders>
            <w:tcMar>
              <w:top w:w="0" w:type="dxa"/>
              <w:left w:w="62" w:type="dxa"/>
              <w:bottom w:w="0" w:type="dxa"/>
              <w:right w:w="62" w:type="dxa"/>
            </w:tcMar>
          </w:tcPr>
          <w:p w:rsidR="00000000" w:rsidRPr="00AC66C0" w:rsidP="00AC66C0">
            <w:pPr>
              <w:pStyle w:val="ListBullet"/>
            </w:pPr>
            <w:r w:rsidRPr="00AC66C0">
              <w:t xml:space="preserve">In cases where the learner does not have the opportunity to cover all relevant aspects </w:t>
            </w:r>
            <w:r w:rsidRPr="00AC66C0">
              <w:t>in the work environment, the remainder should be assessed through realistic simulations, projects, previous relevant experience or oral questioning on 'What if?' scenarios</w:t>
            </w:r>
          </w:p>
          <w:p w:rsidR="00000000" w:rsidRPr="00AC66C0" w:rsidP="00AC66C0">
            <w:pPr>
              <w:pStyle w:val="ListBullet"/>
            </w:pPr>
            <w:r w:rsidRPr="00AC66C0">
              <w:t>Assessment of this unit of competence will usually include observation of processes and procedures, oral and/or written questioning on Essential knowledge and skills and consideration of required attitudes</w:t>
            </w:r>
          </w:p>
          <w:p w:rsidR="00000000" w:rsidP="00AC66C0">
            <w:pPr>
              <w:pStyle w:val="ListBullet"/>
              <w:rPr>
                <w:lang w:val="en-NZ"/>
              </w:rPr>
            </w:pPr>
            <w:r w:rsidRPr="00AC66C0">
              <w:t xml:space="preserve">Where performance is not directly observed and/or </w:t>
            </w:r>
            <w:r w:rsidRPr="00AC66C0">
              <w:t>is required to be demonstrated over a 'period of time' and/or in a 'number of locations', any evidence should be authenticated by colleagues, supervisors, clients or other appropriate persons</w:t>
            </w:r>
          </w:p>
        </w:tc>
      </w:tr>
      <w:tr w:rsidTr="00E664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C66C0" w:rsidP="00AC66C0">
            <w:pPr>
              <w:pStyle w:val="BodyText"/>
            </w:pPr>
          </w:p>
        </w:tc>
      </w:tr>
    </w:tbl>
    <w:p w:rsidR="00E66491" w:rsidP="00AC66C0">
      <w:pPr>
        <w:pStyle w:val="BodyText"/>
      </w:pPr>
    </w:p>
    <w:p w:rsidR="00E66491" w:rsidP="00AC66C0">
      <w:pPr>
        <w:pStyle w:val="BodyText"/>
      </w:pPr>
    </w:p>
    <w:p w:rsidR="00000000" w:rsidRPr="00AC66C0" w:rsidP="00AC66C0">
      <w:pPr>
        <w:pStyle w:val="Heading1"/>
      </w:pPr>
      <w:bookmarkStart w:id="11" w:name="O_249851"/>
      <w:bookmarkEnd w:id="11"/>
      <w:r w:rsidRPr="00AC66C0">
        <w:t>Range Statement</w:t>
      </w:r>
    </w:p>
    <w:tbl>
      <w:tblPr>
        <w:tblW w:w="0" w:type="auto"/>
        <w:tblLayout w:type="fixed"/>
        <w:tblCellMar>
          <w:left w:w="62" w:type="dxa"/>
          <w:right w:w="62" w:type="dxa"/>
        </w:tblCellMar>
        <w:tblLook w:val="0000"/>
      </w:tblPr>
      <w:tblGrid>
        <w:gridCol w:w="3402"/>
        <w:gridCol w:w="5670"/>
      </w:tblGrid>
      <w:tr w:rsidTr="00E6649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C66C0">
            <w:pPr>
              <w:pStyle w:val="BodyText"/>
              <w:rPr>
                <w:lang w:val="en-NZ"/>
              </w:rPr>
            </w:pPr>
            <w:r w:rsidRPr="00AC66C0">
              <w:rPr>
                <w:rStyle w:val="SpecialBold"/>
              </w:rPr>
              <w:t>RANGE STATEMENT</w:t>
            </w:r>
          </w:p>
        </w:tc>
      </w:tr>
      <w:tr w:rsidTr="00E6649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C66C0">
            <w:pPr>
              <w:pStyle w:val="BodyText"/>
              <w:rPr>
                <w:lang w:val="en-NZ"/>
              </w:rPr>
            </w:pPr>
          </w:p>
        </w:tc>
      </w:tr>
      <w:tr w:rsidTr="00E6649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C66C0">
            <w:pPr>
              <w:pStyle w:val="BodyText"/>
              <w:rPr>
                <w:lang w:val="en-NZ"/>
              </w:rPr>
            </w:pPr>
            <w:r w:rsidRPr="00AC66C0">
              <w:t>The Range Statement relates to the unit of competency as a whole. It allows for different work environments and situations that may affect performance. Add any essential operating conditions that may be present with training and assessment depending on the</w:t>
            </w:r>
            <w:r w:rsidRPr="00AC66C0">
              <w:t xml:space="preserve"> work situation, needs of the candidate, accessibility of the item, and local industry and regional contexts.</w:t>
            </w:r>
          </w:p>
        </w:tc>
      </w:tr>
      <w:tr w:rsidTr="00E664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C66C0">
            <w:pPr>
              <w:pStyle w:val="BodyText"/>
              <w:rPr>
                <w:lang w:val="en-NZ"/>
              </w:rPr>
            </w:pPr>
          </w:p>
        </w:tc>
      </w:tr>
      <w:tr w:rsidTr="00E664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C66C0">
            <w:pPr>
              <w:pStyle w:val="BodyText"/>
              <w:rPr>
                <w:lang w:val="en-NZ"/>
              </w:rPr>
            </w:pPr>
            <w:r w:rsidRPr="00AC66C0">
              <w:rPr>
                <w:rStyle w:val="Emphasis"/>
              </w:rPr>
              <w:t>Client groups may include but are not limited to</w:t>
            </w:r>
            <w:r w:rsidRPr="00AC66C0">
              <w:t>:</w:t>
            </w:r>
          </w:p>
        </w:tc>
        <w:tc>
          <w:tcPr>
            <w:tcW w:w="5670" w:type="dxa"/>
            <w:tcBorders>
              <w:top w:val="nil"/>
              <w:left w:val="nil"/>
              <w:bottom w:val="nil"/>
              <w:right w:val="nil"/>
            </w:tcBorders>
            <w:tcMar>
              <w:top w:w="0" w:type="dxa"/>
              <w:left w:w="62" w:type="dxa"/>
              <w:bottom w:w="0" w:type="dxa"/>
              <w:right w:w="62" w:type="dxa"/>
            </w:tcMar>
          </w:tcPr>
          <w:p w:rsidR="00000000" w:rsidRPr="00AC66C0" w:rsidP="00AC66C0">
            <w:pPr>
              <w:pStyle w:val="ListBullet"/>
            </w:pPr>
            <w:r w:rsidRPr="00AC66C0">
              <w:t>Youth</w:t>
            </w:r>
          </w:p>
          <w:p w:rsidR="00000000" w:rsidRPr="00AC66C0" w:rsidP="00AC66C0">
            <w:pPr>
              <w:pStyle w:val="ListBullet"/>
            </w:pPr>
            <w:r w:rsidRPr="00AC66C0">
              <w:t>Aged</w:t>
            </w:r>
          </w:p>
          <w:p w:rsidR="00000000" w:rsidRPr="00AC66C0" w:rsidP="00AC66C0">
            <w:pPr>
              <w:pStyle w:val="ListBullet"/>
            </w:pPr>
            <w:r w:rsidRPr="00AC66C0">
              <w:t>Church and community groups</w:t>
            </w:r>
          </w:p>
          <w:p w:rsidR="00000000" w:rsidRPr="00AC66C0" w:rsidP="00AC66C0">
            <w:pPr>
              <w:pStyle w:val="ListBullet"/>
            </w:pPr>
            <w:r w:rsidRPr="00AC66C0">
              <w:t>Schools</w:t>
            </w:r>
          </w:p>
          <w:p w:rsidR="00000000" w:rsidRPr="00AC66C0" w:rsidP="00AC66C0">
            <w:pPr>
              <w:pStyle w:val="ListBullet"/>
            </w:pPr>
            <w:r w:rsidRPr="00AC66C0">
              <w:t>Low income earners</w:t>
            </w:r>
          </w:p>
          <w:p w:rsidR="00000000" w:rsidRPr="00AC66C0" w:rsidP="00AC66C0">
            <w:pPr>
              <w:pStyle w:val="ListBullet"/>
            </w:pPr>
            <w:r w:rsidRPr="00AC66C0">
              <w:t>Centrelink recipients</w:t>
            </w:r>
          </w:p>
          <w:p w:rsidR="00000000" w:rsidP="00AC66C0">
            <w:pPr>
              <w:pStyle w:val="ListBullet"/>
              <w:rPr>
                <w:lang w:val="en-NZ"/>
              </w:rPr>
            </w:pPr>
            <w:r w:rsidRPr="00AC66C0">
              <w:t>Vulnerable clients</w:t>
            </w:r>
          </w:p>
        </w:tc>
      </w:tr>
      <w:tr w:rsidTr="00E664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C66C0">
            <w:pPr>
              <w:pStyle w:val="BodyText"/>
              <w:rPr>
                <w:lang w:val="en-NZ"/>
              </w:rPr>
            </w:pPr>
          </w:p>
        </w:tc>
      </w:tr>
      <w:tr w:rsidTr="00E664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C66C0">
            <w:pPr>
              <w:pStyle w:val="BodyText"/>
              <w:rPr>
                <w:lang w:val="en-NZ"/>
              </w:rPr>
            </w:pPr>
            <w:r w:rsidRPr="00AC66C0">
              <w:rPr>
                <w:rStyle w:val="Emphasis"/>
              </w:rPr>
              <w:t>Barriers to effective personal money management may relate to</w:t>
            </w:r>
            <w:r w:rsidRPr="00AC66C0">
              <w:t xml:space="preserve">, </w:t>
            </w:r>
            <w:r w:rsidRPr="00AC66C0">
              <w:rPr>
                <w:rStyle w:val="Emphasis"/>
              </w:rPr>
              <w:t>for example</w:t>
            </w:r>
            <w:r w:rsidRPr="00AC66C0">
              <w:t>:</w:t>
            </w:r>
          </w:p>
        </w:tc>
        <w:tc>
          <w:tcPr>
            <w:tcW w:w="5670" w:type="dxa"/>
            <w:tcBorders>
              <w:top w:val="nil"/>
              <w:left w:val="nil"/>
              <w:bottom w:val="nil"/>
              <w:right w:val="nil"/>
            </w:tcBorders>
            <w:tcMar>
              <w:top w:w="0" w:type="dxa"/>
              <w:left w:w="62" w:type="dxa"/>
              <w:bottom w:w="0" w:type="dxa"/>
              <w:right w:w="62" w:type="dxa"/>
            </w:tcMar>
          </w:tcPr>
          <w:p w:rsidR="00000000" w:rsidRPr="00AC66C0" w:rsidP="00AC66C0">
            <w:pPr>
              <w:pStyle w:val="ListBullet"/>
            </w:pPr>
            <w:r w:rsidRPr="00AC66C0">
              <w:t>Low levels of literacy and numeracy</w:t>
            </w:r>
          </w:p>
          <w:p w:rsidR="00000000" w:rsidRPr="00AC66C0" w:rsidP="00AC66C0">
            <w:pPr>
              <w:pStyle w:val="ListBullet"/>
            </w:pPr>
            <w:r w:rsidRPr="00AC66C0">
              <w:t>Mental health issues</w:t>
            </w:r>
          </w:p>
          <w:p w:rsidR="00000000" w:rsidRPr="00AC66C0" w:rsidP="00AC66C0">
            <w:pPr>
              <w:pStyle w:val="ListBullet"/>
            </w:pPr>
            <w:r w:rsidRPr="00AC66C0">
              <w:t>Cultural and language background</w:t>
            </w:r>
          </w:p>
          <w:p w:rsidR="00000000" w:rsidRPr="00AC66C0" w:rsidP="00AC66C0">
            <w:pPr>
              <w:pStyle w:val="ListBullet"/>
            </w:pPr>
            <w:r w:rsidRPr="00AC66C0">
              <w:t>Alcohol and other drugs issues</w:t>
            </w:r>
          </w:p>
          <w:p w:rsidR="00000000" w:rsidP="00AC66C0">
            <w:pPr>
              <w:pStyle w:val="ListBullet"/>
              <w:rPr>
                <w:lang w:val="en-NZ"/>
              </w:rPr>
            </w:pPr>
            <w:r w:rsidRPr="00AC66C0">
              <w:t>Domestic violence issues</w:t>
            </w:r>
          </w:p>
        </w:tc>
      </w:tr>
      <w:tr w:rsidTr="00E664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C66C0">
            <w:pPr>
              <w:pStyle w:val="BodyText"/>
              <w:rPr>
                <w:lang w:val="en-NZ"/>
              </w:rPr>
            </w:pPr>
          </w:p>
        </w:tc>
      </w:tr>
      <w:tr w:rsidTr="00E664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C66C0">
            <w:pPr>
              <w:pStyle w:val="BodyText"/>
              <w:rPr>
                <w:lang w:val="en-NZ"/>
              </w:rPr>
            </w:pPr>
            <w:r w:rsidRPr="00AC66C0">
              <w:rPr>
                <w:rStyle w:val="Emphasis"/>
              </w:rPr>
              <w:t>Delivery of financial literacy education may include</w:t>
            </w:r>
            <w:r w:rsidRPr="00AC66C0">
              <w:t>:</w:t>
            </w:r>
          </w:p>
        </w:tc>
        <w:tc>
          <w:tcPr>
            <w:tcW w:w="5670" w:type="dxa"/>
            <w:tcBorders>
              <w:top w:val="nil"/>
              <w:left w:val="nil"/>
              <w:bottom w:val="nil"/>
              <w:right w:val="nil"/>
            </w:tcBorders>
            <w:tcMar>
              <w:top w:w="0" w:type="dxa"/>
              <w:left w:w="62" w:type="dxa"/>
              <w:bottom w:w="0" w:type="dxa"/>
              <w:right w:w="62" w:type="dxa"/>
            </w:tcMar>
          </w:tcPr>
          <w:p w:rsidR="00000000" w:rsidRPr="00AC66C0" w:rsidP="00AC66C0">
            <w:pPr>
              <w:pStyle w:val="ListBullet"/>
            </w:pPr>
            <w:r w:rsidRPr="00AC66C0">
              <w:t>Groups</w:t>
            </w:r>
          </w:p>
          <w:p w:rsidR="00000000" w:rsidP="00AC66C0">
            <w:pPr>
              <w:pStyle w:val="ListBullet"/>
              <w:rPr>
                <w:lang w:val="en-NZ"/>
              </w:rPr>
            </w:pPr>
            <w:r w:rsidRPr="00AC66C0">
              <w:t xml:space="preserve">Target communities </w:t>
            </w:r>
          </w:p>
        </w:tc>
      </w:tr>
      <w:tr w:rsidTr="00E664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C66C0" w:rsidP="00AC66C0">
            <w:pPr>
              <w:pStyle w:val="BodyText"/>
            </w:pPr>
          </w:p>
        </w:tc>
      </w:tr>
    </w:tbl>
    <w:p w:rsidR="00E66491" w:rsidP="00AC66C0">
      <w:pPr>
        <w:pStyle w:val="BodyText"/>
      </w:pPr>
    </w:p>
    <w:p w:rsidR="00E66491" w:rsidP="00AC66C0">
      <w:pPr>
        <w:pStyle w:val="BodyText"/>
      </w:pPr>
    </w:p>
    <w:p w:rsidR="00000000" w:rsidRPr="00AC66C0" w:rsidP="00AC66C0">
      <w:pPr>
        <w:pStyle w:val="Heading1"/>
      </w:pPr>
      <w:bookmarkStart w:id="12" w:name="O_294156"/>
      <w:bookmarkEnd w:id="12"/>
      <w:r w:rsidRPr="00AC66C0">
        <w:t>Unit Sector(s)</w:t>
      </w:r>
    </w:p>
    <w:p w:rsidR="00000000" w:rsidRPr="00AC66C0" w:rsidP="00AC66C0">
      <w:pPr>
        <w:pStyle w:val="BodyText"/>
      </w:pPr>
      <w:r w:rsidRPr="00AC66C0">
        <w:t>Not Applicable</w:t>
      </w:r>
    </w:p>
    <w:p w:rsidR="00000000" w:rsidRPr="00AC66C0" w:rsidP="00AC66C0"/>
    <w:sectPr w:rsidSect="00AC66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6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6491" w:rsidP="00E664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6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491" w:rsidP="00AC66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66491" w:rsidP="00AC66C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66491" w:rsidP="00AC66C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6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6491" w:rsidP="00E6649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6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491" w:rsidP="00AC66C0">
    <w:pPr>
      <w:pStyle w:val="Header"/>
      <w:framePr w:wrap="around"/>
    </w:pPr>
    <w:r>
      <w:fldChar w:fldCharType="begin"/>
    </w:r>
    <w:r>
      <w:instrText xml:space="preserve"> TITLE   \* MERGEFORMAT </w:instrText>
    </w:r>
    <w:r>
      <w:fldChar w:fldCharType="separate"/>
    </w:r>
    <w:r>
      <w:t>CHCFLE301A Work with clients needing financial literacy education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66491" w:rsidP="00AC66C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6441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34A9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9486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66C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C66C0"/>
    <w:pPr>
      <w:spacing w:before="360" w:after="60"/>
      <w:outlineLvl w:val="0"/>
    </w:pPr>
    <w:rPr>
      <w:sz w:val="32"/>
    </w:rPr>
  </w:style>
  <w:style w:type="paragraph" w:styleId="Heading2">
    <w:name w:val="heading 2"/>
    <w:basedOn w:val="HeadingBase"/>
    <w:next w:val="BodyText"/>
    <w:link w:val="Heading2Char"/>
    <w:qFormat/>
    <w:rsid w:val="00AC66C0"/>
    <w:pPr>
      <w:keepLines/>
      <w:spacing w:before="240" w:after="120"/>
      <w:outlineLvl w:val="1"/>
    </w:pPr>
    <w:rPr>
      <w:sz w:val="28"/>
      <w:szCs w:val="40"/>
    </w:rPr>
  </w:style>
  <w:style w:type="paragraph" w:styleId="Heading3">
    <w:name w:val="heading 3"/>
    <w:basedOn w:val="HeadingBase"/>
    <w:next w:val="BodyText"/>
    <w:link w:val="Heading3Char"/>
    <w:qFormat/>
    <w:rsid w:val="00AC66C0"/>
    <w:pPr>
      <w:spacing w:before="180" w:after="120"/>
      <w:outlineLvl w:val="2"/>
    </w:pPr>
    <w:rPr>
      <w:spacing w:val="-10"/>
      <w:kern w:val="32"/>
    </w:rPr>
  </w:style>
  <w:style w:type="paragraph" w:styleId="Heading4">
    <w:name w:val="heading 4"/>
    <w:basedOn w:val="HeadingBase"/>
    <w:next w:val="BodyText"/>
    <w:link w:val="Heading4Char"/>
    <w:qFormat/>
    <w:rsid w:val="00AC66C0"/>
    <w:pPr>
      <w:spacing w:before="160" w:after="120"/>
      <w:outlineLvl w:val="3"/>
    </w:pPr>
    <w:rPr>
      <w:sz w:val="22"/>
    </w:rPr>
  </w:style>
  <w:style w:type="paragraph" w:styleId="Heading5">
    <w:name w:val="heading 5"/>
    <w:basedOn w:val="HeadingBase"/>
    <w:next w:val="Normal"/>
    <w:link w:val="Heading5Char"/>
    <w:qFormat/>
    <w:rsid w:val="00AC66C0"/>
    <w:pPr>
      <w:spacing w:before="80"/>
      <w:outlineLvl w:val="4"/>
    </w:pPr>
    <w:rPr>
      <w:color w:val="918585"/>
      <w:sz w:val="20"/>
    </w:rPr>
  </w:style>
  <w:style w:type="paragraph" w:styleId="Heading6">
    <w:name w:val="heading 6"/>
    <w:basedOn w:val="HeadingBase"/>
    <w:next w:val="Normal"/>
    <w:link w:val="Heading6Char"/>
    <w:qFormat/>
    <w:rsid w:val="00AC66C0"/>
    <w:pPr>
      <w:spacing w:before="60"/>
      <w:outlineLvl w:val="5"/>
    </w:pPr>
    <w:rPr>
      <w:color w:val="918585"/>
      <w:sz w:val="20"/>
    </w:rPr>
  </w:style>
  <w:style w:type="paragraph" w:styleId="Heading7">
    <w:name w:val="heading 7"/>
    <w:basedOn w:val="Normal"/>
    <w:next w:val="Normal"/>
    <w:link w:val="Heading7Char"/>
    <w:qFormat/>
    <w:rsid w:val="00AC66C0"/>
    <w:pPr>
      <w:ind w:left="720"/>
      <w:outlineLvl w:val="6"/>
    </w:pPr>
    <w:rPr>
      <w:i/>
    </w:rPr>
  </w:style>
  <w:style w:type="paragraph" w:styleId="Heading8">
    <w:name w:val="heading 8"/>
    <w:basedOn w:val="Normal"/>
    <w:next w:val="Normal"/>
    <w:link w:val="Heading8Char"/>
    <w:qFormat/>
    <w:rsid w:val="00AC66C0"/>
    <w:pPr>
      <w:ind w:left="720"/>
      <w:outlineLvl w:val="7"/>
    </w:pPr>
    <w:rPr>
      <w:i/>
    </w:rPr>
  </w:style>
  <w:style w:type="paragraph" w:styleId="Heading9">
    <w:name w:val="heading 9"/>
    <w:basedOn w:val="Normal"/>
    <w:next w:val="Normal"/>
    <w:link w:val="Heading9Char"/>
    <w:qFormat/>
    <w:rsid w:val="00AC66C0"/>
    <w:pPr>
      <w:ind w:left="720"/>
      <w:outlineLvl w:val="8"/>
    </w:pPr>
    <w:rPr>
      <w:i/>
    </w:rPr>
  </w:style>
  <w:style w:type="character" w:default="1" w:styleId="DefaultParagraphFont">
    <w:name w:val="Default Paragraph Font"/>
    <w:uiPriority w:val="1"/>
    <w:unhideWhenUsed/>
    <w:rsid w:val="00AC66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66C0"/>
  </w:style>
  <w:style w:type="character" w:customStyle="1" w:styleId="Heading1Char">
    <w:name w:val="Heading 1 Char"/>
    <w:basedOn w:val="DefaultParagraphFont"/>
    <w:link w:val="Heading1"/>
    <w:rsid w:val="00AC66C0"/>
    <w:rPr>
      <w:rFonts w:ascii="Times New Roman" w:eastAsia="Times New Roman" w:hAnsi="Times New Roman" w:cs="Times New Roman"/>
      <w:b/>
      <w:sz w:val="32"/>
      <w:szCs w:val="20"/>
      <w:lang w:eastAsia="en-US"/>
    </w:rPr>
  </w:style>
  <w:style w:type="paragraph" w:styleId="BodyText">
    <w:name w:val="Body Text"/>
    <w:basedOn w:val="Normal"/>
    <w:link w:val="BodyTextChar"/>
    <w:rsid w:val="00AC66C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C66C0"/>
    <w:rPr>
      <w:rFonts w:ascii="Times New Roman" w:eastAsia="Times New Roman" w:hAnsi="Times New Roman" w:cs="Times New Roman"/>
      <w:sz w:val="24"/>
      <w:lang w:val="en-US" w:eastAsia="en-US"/>
    </w:rPr>
  </w:style>
  <w:style w:type="paragraph" w:styleId="Footer">
    <w:name w:val="footer"/>
    <w:basedOn w:val="Normal"/>
    <w:link w:val="FooterChar"/>
    <w:rsid w:val="00AC66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66C0"/>
    <w:rPr>
      <w:rFonts w:ascii="Times New Roman" w:eastAsia="Times New Roman" w:hAnsi="Times New Roman" w:cs="Times New Roman"/>
      <w:sz w:val="16"/>
      <w:lang w:val="en-US" w:eastAsia="en-US"/>
    </w:rPr>
  </w:style>
  <w:style w:type="paragraph" w:styleId="List">
    <w:name w:val="List"/>
    <w:basedOn w:val="BodyText"/>
    <w:next w:val="BodyText"/>
    <w:rsid w:val="00AC66C0"/>
    <w:pPr>
      <w:tabs>
        <w:tab w:val="left" w:pos="340"/>
      </w:tabs>
      <w:spacing w:before="60" w:after="60"/>
      <w:ind w:left="340" w:hanging="340"/>
    </w:pPr>
  </w:style>
  <w:style w:type="paragraph" w:styleId="ListBullet">
    <w:name w:val="List Bullet"/>
    <w:basedOn w:val="List"/>
    <w:rsid w:val="00AC66C0"/>
    <w:pPr>
      <w:numPr>
        <w:numId w:val="13"/>
      </w:numPr>
      <w:tabs>
        <w:tab w:val="clear" w:pos="340"/>
      </w:tabs>
      <w:spacing w:before="40" w:after="40"/>
    </w:pPr>
  </w:style>
  <w:style w:type="character" w:customStyle="1" w:styleId="SpecialBold">
    <w:name w:val="Special Bold"/>
    <w:basedOn w:val="DefaultParagraphFont"/>
    <w:rsid w:val="00AC66C0"/>
    <w:rPr>
      <w:b/>
      <w:spacing w:val="0"/>
    </w:rPr>
  </w:style>
  <w:style w:type="paragraph" w:styleId="ListBullet2">
    <w:name w:val="List Bullet 2"/>
    <w:basedOn w:val="List2"/>
    <w:rsid w:val="00AC66C0"/>
    <w:pPr>
      <w:numPr>
        <w:numId w:val="14"/>
      </w:numPr>
      <w:tabs>
        <w:tab w:val="clear" w:pos="680"/>
      </w:tabs>
    </w:pPr>
  </w:style>
  <w:style w:type="paragraph" w:styleId="Header">
    <w:name w:val="header"/>
    <w:basedOn w:val="Normal"/>
    <w:link w:val="HeaderChar"/>
    <w:rsid w:val="00AC66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66C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C66C0"/>
    <w:rPr>
      <w:i/>
    </w:rPr>
  </w:style>
  <w:style w:type="paragraph" w:customStyle="1" w:styleId="SuperHeading">
    <w:name w:val="SuperHeading"/>
    <w:basedOn w:val="Normal"/>
    <w:rsid w:val="00AC66C0"/>
    <w:pPr>
      <w:spacing w:before="240" w:after="120"/>
      <w:outlineLvl w:val="0"/>
    </w:pPr>
    <w:rPr>
      <w:rFonts w:ascii="Times New Roman" w:hAnsi="Times New Roman"/>
      <w:b/>
      <w:sz w:val="28"/>
    </w:rPr>
  </w:style>
  <w:style w:type="paragraph" w:customStyle="1" w:styleId="AllowPageBreak">
    <w:name w:val="AllowPageBreak"/>
    <w:rsid w:val="00AC66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C66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66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66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66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66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66C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C66C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C66C0"/>
    <w:rPr>
      <w:rFonts w:ascii="Courier New" w:eastAsia="Times New Roman" w:hAnsi="Courier New" w:cs="Times New Roman"/>
      <w:i/>
      <w:szCs w:val="20"/>
      <w:lang w:val="en-US" w:eastAsia="en-US"/>
    </w:rPr>
  </w:style>
  <w:style w:type="paragraph" w:customStyle="1" w:styleId="HeadingBase">
    <w:name w:val="Heading Base"/>
    <w:rsid w:val="00AC66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66C0"/>
    <w:pPr>
      <w:tabs>
        <w:tab w:val="right" w:leader="dot" w:pos="9072"/>
      </w:tabs>
      <w:ind w:left="567"/>
    </w:pPr>
    <w:rPr>
      <w:szCs w:val="22"/>
    </w:rPr>
  </w:style>
  <w:style w:type="paragraph" w:customStyle="1" w:styleId="TOCBase">
    <w:name w:val="TOC Base"/>
    <w:rsid w:val="00AC66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66C0"/>
    <w:pPr>
      <w:tabs>
        <w:tab w:val="right" w:leader="dot" w:pos="9072"/>
      </w:tabs>
      <w:spacing w:before="40" w:after="40"/>
      <w:ind w:left="284"/>
    </w:pPr>
    <w:rPr>
      <w:rFonts w:ascii="Times New Roman" w:hAnsi="Times New Roman"/>
    </w:rPr>
  </w:style>
  <w:style w:type="paragraph" w:styleId="TOC1">
    <w:name w:val="toc 1"/>
    <w:basedOn w:val="TOCBase"/>
    <w:next w:val="Normal"/>
    <w:rsid w:val="00AC66C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C66C0"/>
    <w:pPr>
      <w:spacing w:before="5040"/>
      <w:jc w:val="center"/>
    </w:pPr>
    <w:rPr>
      <w:sz w:val="48"/>
      <w:szCs w:val="72"/>
      <w:lang w:val="en-US"/>
    </w:rPr>
  </w:style>
  <w:style w:type="character" w:customStyle="1" w:styleId="TitleChar">
    <w:name w:val="Title Char"/>
    <w:basedOn w:val="DefaultParagraphFont"/>
    <w:link w:val="Title"/>
    <w:rsid w:val="00AC66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66C0"/>
    <w:pPr>
      <w:tabs>
        <w:tab w:val="left" w:pos="3600"/>
        <w:tab w:val="left" w:pos="3958"/>
      </w:tabs>
    </w:pPr>
  </w:style>
  <w:style w:type="paragraph" w:customStyle="1" w:styleId="Note">
    <w:name w:val="Note"/>
    <w:basedOn w:val="BodyText"/>
    <w:rsid w:val="00AC66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66C0"/>
    <w:pPr>
      <w:framePr w:wrap="auto" w:hAnchor="text" w:y="6049"/>
    </w:pPr>
    <w:rPr>
      <w:color w:val="000000"/>
      <w:sz w:val="40"/>
    </w:rPr>
  </w:style>
  <w:style w:type="paragraph" w:customStyle="1" w:styleId="TOCTitle">
    <w:name w:val="TOCTitle"/>
    <w:basedOn w:val="Heading1"/>
    <w:rsid w:val="00AC66C0"/>
    <w:pPr>
      <w:spacing w:after="240"/>
      <w:jc w:val="center"/>
      <w:outlineLvl w:val="9"/>
    </w:pPr>
    <w:rPr>
      <w:caps/>
    </w:rPr>
  </w:style>
  <w:style w:type="paragraph" w:customStyle="1" w:styleId="Version">
    <w:name w:val="Version"/>
    <w:rsid w:val="00AC66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66C0"/>
    <w:pPr>
      <w:keepNext w:val="0"/>
      <w:tabs>
        <w:tab w:val="right" w:pos="4176"/>
      </w:tabs>
      <w:ind w:left="198" w:hanging="198"/>
    </w:pPr>
    <w:rPr>
      <w:rFonts w:ascii="Garamond" w:hAnsi="Garamond"/>
    </w:rPr>
  </w:style>
  <w:style w:type="paragraph" w:styleId="IndexHeading">
    <w:name w:val="index heading"/>
    <w:basedOn w:val="Normal"/>
    <w:next w:val="Index1"/>
    <w:semiHidden/>
    <w:rsid w:val="00AC66C0"/>
    <w:pPr>
      <w:spacing w:before="120" w:after="120"/>
    </w:pPr>
    <w:rPr>
      <w:rFonts w:ascii="Arial" w:hAnsi="Arial"/>
      <w:b/>
      <w:color w:val="918585"/>
      <w:sz w:val="24"/>
    </w:rPr>
  </w:style>
  <w:style w:type="paragraph" w:customStyle="1" w:styleId="Chapter">
    <w:name w:val="Chapter"/>
    <w:basedOn w:val="Normal"/>
    <w:rsid w:val="00AC66C0"/>
    <w:pPr>
      <w:spacing w:before="240"/>
    </w:pPr>
    <w:rPr>
      <w:rFonts w:ascii="Times New Roman" w:hAnsi="Times New Roman"/>
      <w:smallCaps/>
      <w:spacing w:val="80"/>
      <w:sz w:val="28"/>
    </w:rPr>
  </w:style>
  <w:style w:type="paragraph" w:customStyle="1" w:styleId="InChapter">
    <w:name w:val="InChapter"/>
    <w:basedOn w:val="Heading3"/>
    <w:rsid w:val="00AC66C0"/>
    <w:pPr>
      <w:spacing w:after="240"/>
      <w:outlineLvl w:val="9"/>
    </w:pPr>
    <w:rPr>
      <w:noProof/>
    </w:rPr>
  </w:style>
  <w:style w:type="paragraph" w:styleId="Index2">
    <w:name w:val="index 2"/>
    <w:basedOn w:val="Normal"/>
    <w:next w:val="Normal"/>
    <w:semiHidden/>
    <w:rsid w:val="00AC66C0"/>
    <w:pPr>
      <w:tabs>
        <w:tab w:val="right" w:pos="4176"/>
      </w:tabs>
      <w:ind w:left="568" w:hanging="284"/>
    </w:pPr>
    <w:rPr>
      <w:rFonts w:ascii="Garamond" w:hAnsi="Garamond"/>
    </w:rPr>
  </w:style>
  <w:style w:type="paragraph" w:customStyle="1" w:styleId="Byline">
    <w:name w:val="Byline"/>
    <w:rsid w:val="00AC66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66C0"/>
    <w:pPr>
      <w:tabs>
        <w:tab w:val="clear" w:pos="3600"/>
        <w:tab w:val="clear" w:pos="3958"/>
      </w:tabs>
      <w:jc w:val="right"/>
    </w:pPr>
  </w:style>
  <w:style w:type="paragraph" w:styleId="Caption">
    <w:name w:val="caption"/>
    <w:basedOn w:val="BodyText"/>
    <w:next w:val="Normal"/>
    <w:qFormat/>
    <w:rsid w:val="00AC66C0"/>
    <w:pPr>
      <w:framePr w:w="2268" w:hSpace="181" w:vSpace="181" w:wrap="around" w:vAnchor="text" w:hAnchor="page" w:x="1135" w:y="285" w:anchorLock="1"/>
    </w:pPr>
    <w:rPr>
      <w:i/>
    </w:rPr>
  </w:style>
  <w:style w:type="paragraph" w:customStyle="1" w:styleId="MiniTOCTitle">
    <w:name w:val="MiniTOCTitle"/>
    <w:basedOn w:val="Heading4"/>
    <w:rsid w:val="00AC66C0"/>
    <w:pPr>
      <w:spacing w:before="240"/>
      <w:outlineLvl w:val="9"/>
    </w:pPr>
    <w:rPr>
      <w:noProof/>
      <w:sz w:val="24"/>
    </w:rPr>
  </w:style>
  <w:style w:type="paragraph" w:customStyle="1" w:styleId="MiniTOCItem">
    <w:name w:val="MiniTOCItem"/>
    <w:basedOn w:val="ListBullet"/>
    <w:rsid w:val="00AC66C0"/>
    <w:pPr>
      <w:numPr>
        <w:numId w:val="0"/>
      </w:numPr>
      <w:tabs>
        <w:tab w:val="right" w:leader="dot" w:pos="6521"/>
      </w:tabs>
      <w:spacing w:before="0" w:after="0"/>
    </w:pPr>
  </w:style>
  <w:style w:type="paragraph" w:customStyle="1" w:styleId="TOFTitle">
    <w:name w:val="TOFTitle"/>
    <w:basedOn w:val="TOCTitle"/>
    <w:rsid w:val="00AC66C0"/>
  </w:style>
  <w:style w:type="paragraph" w:styleId="TableofFigures">
    <w:name w:val="table of figures"/>
    <w:basedOn w:val="Normal"/>
    <w:next w:val="Normal"/>
    <w:semiHidden/>
    <w:rsid w:val="00AC66C0"/>
    <w:pPr>
      <w:tabs>
        <w:tab w:val="right" w:leader="dot" w:pos="9072"/>
      </w:tabs>
      <w:ind w:left="970" w:hanging="403"/>
    </w:pPr>
    <w:rPr>
      <w:rFonts w:ascii="Times New Roman" w:hAnsi="Times New Roman"/>
      <w:b/>
    </w:rPr>
  </w:style>
  <w:style w:type="paragraph" w:styleId="ListNumber">
    <w:name w:val="List Number"/>
    <w:basedOn w:val="List"/>
    <w:rsid w:val="00AC66C0"/>
    <w:pPr>
      <w:numPr>
        <w:numId w:val="11"/>
      </w:numPr>
    </w:pPr>
  </w:style>
  <w:style w:type="character" w:customStyle="1" w:styleId="WingdingSymbols">
    <w:name w:val="Wingding Symbols"/>
    <w:rsid w:val="00AC66C0"/>
    <w:rPr>
      <w:rFonts w:ascii="Wingdings" w:hAnsi="Wingdings"/>
    </w:rPr>
  </w:style>
  <w:style w:type="paragraph" w:customStyle="1" w:styleId="TableHeading">
    <w:name w:val="Table Heading"/>
    <w:basedOn w:val="HeadingBase"/>
    <w:rsid w:val="00AC66C0"/>
    <w:pPr>
      <w:keepLines/>
      <w:pBdr>
        <w:bottom w:val="single" w:sz="6" w:space="1" w:color="918585"/>
      </w:pBdr>
      <w:spacing w:before="240"/>
    </w:pPr>
  </w:style>
  <w:style w:type="character" w:customStyle="1" w:styleId="HotSpot">
    <w:name w:val="HotSpot"/>
    <w:rsid w:val="00AC66C0"/>
    <w:rPr>
      <w:color w:val="0033CC"/>
      <w:u w:val="none"/>
    </w:rPr>
  </w:style>
  <w:style w:type="paragraph" w:customStyle="1" w:styleId="BodyTextRight">
    <w:name w:val="Body Text Right"/>
    <w:basedOn w:val="BodyText"/>
    <w:rsid w:val="00AC66C0"/>
    <w:pPr>
      <w:spacing w:before="0" w:after="0"/>
      <w:jc w:val="right"/>
    </w:pPr>
  </w:style>
  <w:style w:type="paragraph" w:styleId="Index3">
    <w:name w:val="index 3"/>
    <w:basedOn w:val="ListNumber2"/>
    <w:next w:val="Normal"/>
    <w:semiHidden/>
    <w:rsid w:val="00AC66C0"/>
    <w:pPr>
      <w:numPr>
        <w:numId w:val="0"/>
      </w:numPr>
      <w:tabs>
        <w:tab w:val="right" w:leader="dot" w:pos="4176"/>
      </w:tabs>
    </w:pPr>
  </w:style>
  <w:style w:type="paragraph" w:styleId="ListNumber2">
    <w:name w:val="List Number 2"/>
    <w:basedOn w:val="List2"/>
    <w:rsid w:val="00AC66C0"/>
    <w:pPr>
      <w:numPr>
        <w:numId w:val="10"/>
      </w:numPr>
      <w:tabs>
        <w:tab w:val="clear" w:pos="1060"/>
      </w:tabs>
    </w:pPr>
  </w:style>
  <w:style w:type="paragraph" w:customStyle="1" w:styleId="MarginNote">
    <w:name w:val="Margin Note"/>
    <w:basedOn w:val="BodyText"/>
    <w:rsid w:val="00AC66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66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66C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C66C0"/>
    <w:rPr>
      <w:sz w:val="32"/>
    </w:rPr>
  </w:style>
  <w:style w:type="paragraph" w:customStyle="1" w:styleId="HeadingProcedure">
    <w:name w:val="Heading Procedure"/>
    <w:basedOn w:val="HeadingBase"/>
    <w:next w:val="Normal"/>
    <w:rsid w:val="00AC66C0"/>
    <w:pPr>
      <w:tabs>
        <w:tab w:val="left" w:pos="0"/>
      </w:tabs>
      <w:spacing w:before="120" w:after="60"/>
    </w:pPr>
    <w:rPr>
      <w:i/>
      <w:color w:val="918585"/>
      <w:sz w:val="22"/>
    </w:rPr>
  </w:style>
  <w:style w:type="paragraph" w:customStyle="1" w:styleId="TableBodyText">
    <w:name w:val="Table Body Text"/>
    <w:basedOn w:val="BodyText"/>
    <w:rsid w:val="00AC66C0"/>
    <w:pPr>
      <w:spacing w:before="60" w:after="60"/>
    </w:pPr>
  </w:style>
  <w:style w:type="paragraph" w:styleId="ListContinue">
    <w:name w:val="List Continue"/>
    <w:basedOn w:val="List"/>
    <w:rsid w:val="00AC66C0"/>
    <w:pPr>
      <w:ind w:firstLine="0"/>
    </w:pPr>
  </w:style>
  <w:style w:type="paragraph" w:customStyle="1" w:styleId="ListNote">
    <w:name w:val="List Note"/>
    <w:basedOn w:val="List"/>
    <w:rsid w:val="00AC66C0"/>
    <w:pPr>
      <w:pBdr>
        <w:top w:val="single" w:sz="6" w:space="2" w:color="918585"/>
        <w:bottom w:val="single" w:sz="6" w:space="2" w:color="918585"/>
      </w:pBdr>
      <w:tabs>
        <w:tab w:val="left" w:pos="1021"/>
      </w:tabs>
      <w:ind w:firstLine="0"/>
    </w:pPr>
  </w:style>
  <w:style w:type="paragraph" w:customStyle="1" w:styleId="Warning">
    <w:name w:val="Warning"/>
    <w:basedOn w:val="BodyText"/>
    <w:rsid w:val="00AC66C0"/>
    <w:pPr>
      <w:shd w:val="clear" w:color="auto" w:fill="D9D9D9"/>
      <w:tabs>
        <w:tab w:val="left" w:pos="992"/>
      </w:tabs>
      <w:ind w:left="119" w:right="119"/>
    </w:pPr>
    <w:rPr>
      <w:sz w:val="20"/>
    </w:rPr>
  </w:style>
  <w:style w:type="paragraph" w:customStyle="1" w:styleId="MarginIcons">
    <w:name w:val="Margin Icons"/>
    <w:basedOn w:val="BodyText"/>
    <w:rsid w:val="00AC66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66C0"/>
    <w:rPr>
      <w:rFonts w:ascii="Courier New" w:hAnsi="Courier New"/>
    </w:rPr>
  </w:style>
  <w:style w:type="paragraph" w:customStyle="1" w:styleId="NoteBullet">
    <w:name w:val="Note Bullet"/>
    <w:basedOn w:val="Note"/>
    <w:rsid w:val="00AC66C0"/>
    <w:pPr>
      <w:tabs>
        <w:tab w:val="clear" w:pos="680"/>
      </w:tabs>
      <w:spacing w:before="60" w:after="60"/>
    </w:pPr>
  </w:style>
  <w:style w:type="paragraph" w:customStyle="1" w:styleId="SubHeading2">
    <w:name w:val="SubHeading2"/>
    <w:basedOn w:val="HeadingBase"/>
    <w:rsid w:val="00AC66C0"/>
    <w:pPr>
      <w:spacing w:before="240" w:after="60"/>
    </w:pPr>
    <w:rPr>
      <w:sz w:val="20"/>
    </w:rPr>
  </w:style>
  <w:style w:type="paragraph" w:customStyle="1" w:styleId="SubHeading1">
    <w:name w:val="SubHeading1"/>
    <w:basedOn w:val="HeadingBase"/>
    <w:rsid w:val="00AC66C0"/>
    <w:pPr>
      <w:spacing w:before="240" w:after="60"/>
    </w:pPr>
    <w:rPr>
      <w:color w:val="918585"/>
      <w:sz w:val="22"/>
    </w:rPr>
  </w:style>
  <w:style w:type="paragraph" w:customStyle="1" w:styleId="SideHeading">
    <w:name w:val="Side Heading"/>
    <w:basedOn w:val="HeadingBase"/>
    <w:rsid w:val="00AC66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66C0"/>
    <w:pPr>
      <w:numPr>
        <w:numId w:val="12"/>
      </w:numPr>
    </w:pPr>
  </w:style>
  <w:style w:type="paragraph" w:styleId="PlainText">
    <w:name w:val="Plain Text"/>
    <w:basedOn w:val="Normal"/>
    <w:link w:val="PlainTextChar"/>
    <w:rsid w:val="00AC66C0"/>
    <w:rPr>
      <w:sz w:val="20"/>
    </w:rPr>
  </w:style>
  <w:style w:type="character" w:customStyle="1" w:styleId="PlainTextChar">
    <w:name w:val="Plain Text Char"/>
    <w:basedOn w:val="DefaultParagraphFont"/>
    <w:link w:val="PlainText"/>
    <w:rsid w:val="00AC66C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C66C0"/>
    <w:rPr>
      <w:b/>
      <w:smallCaps/>
    </w:rPr>
  </w:style>
  <w:style w:type="paragraph" w:customStyle="1" w:styleId="TableListNumber">
    <w:name w:val="Table List Number"/>
    <w:basedOn w:val="ListNumber"/>
    <w:rsid w:val="00AC66C0"/>
    <w:pPr>
      <w:numPr>
        <w:numId w:val="0"/>
      </w:numPr>
    </w:pPr>
  </w:style>
  <w:style w:type="paragraph" w:styleId="TOC4">
    <w:name w:val="toc 4"/>
    <w:basedOn w:val="TOCBase"/>
    <w:next w:val="Normal"/>
    <w:semiHidden/>
    <w:rsid w:val="00AC66C0"/>
    <w:pPr>
      <w:tabs>
        <w:tab w:val="right" w:leader="dot" w:pos="9071"/>
      </w:tabs>
      <w:ind w:left="1701"/>
    </w:pPr>
  </w:style>
  <w:style w:type="paragraph" w:customStyle="1" w:styleId="ListAlpha">
    <w:name w:val="List Alpha"/>
    <w:basedOn w:val="List"/>
    <w:rsid w:val="00AC66C0"/>
    <w:pPr>
      <w:numPr>
        <w:numId w:val="9"/>
      </w:numPr>
    </w:pPr>
  </w:style>
  <w:style w:type="paragraph" w:customStyle="1" w:styleId="ListAlpha2">
    <w:name w:val="List Alpha 2"/>
    <w:basedOn w:val="List2"/>
    <w:rsid w:val="00AC66C0"/>
    <w:pPr>
      <w:numPr>
        <w:numId w:val="8"/>
      </w:numPr>
    </w:pPr>
  </w:style>
  <w:style w:type="paragraph" w:styleId="List2">
    <w:name w:val="List 2"/>
    <w:basedOn w:val="BodyText"/>
    <w:rsid w:val="00AC66C0"/>
    <w:pPr>
      <w:tabs>
        <w:tab w:val="left" w:pos="680"/>
      </w:tabs>
      <w:spacing w:before="60" w:after="60"/>
      <w:ind w:left="680" w:hanging="340"/>
    </w:pPr>
  </w:style>
  <w:style w:type="paragraph" w:styleId="List3">
    <w:name w:val="List 3"/>
    <w:basedOn w:val="BodyText"/>
    <w:rsid w:val="00AC66C0"/>
    <w:pPr>
      <w:tabs>
        <w:tab w:val="left" w:pos="1021"/>
      </w:tabs>
      <w:spacing w:before="60" w:after="60"/>
      <w:ind w:left="1020" w:hanging="340"/>
    </w:pPr>
  </w:style>
  <w:style w:type="paragraph" w:styleId="List4">
    <w:name w:val="List 4"/>
    <w:basedOn w:val="BodyText"/>
    <w:rsid w:val="00AC66C0"/>
    <w:pPr>
      <w:tabs>
        <w:tab w:val="left" w:pos="1361"/>
      </w:tabs>
      <w:spacing w:before="60" w:after="60"/>
      <w:ind w:left="1361" w:hanging="340"/>
    </w:pPr>
  </w:style>
  <w:style w:type="paragraph" w:styleId="List5">
    <w:name w:val="List 5"/>
    <w:basedOn w:val="BodyText"/>
    <w:rsid w:val="00AC66C0"/>
    <w:pPr>
      <w:tabs>
        <w:tab w:val="left" w:pos="1701"/>
      </w:tabs>
      <w:spacing w:before="60" w:after="60"/>
      <w:ind w:left="1701" w:hanging="340"/>
    </w:pPr>
  </w:style>
  <w:style w:type="paragraph" w:styleId="ListBullet3">
    <w:name w:val="List Bullet 3"/>
    <w:basedOn w:val="List3"/>
    <w:rsid w:val="00AC66C0"/>
    <w:pPr>
      <w:numPr>
        <w:numId w:val="15"/>
      </w:numPr>
      <w:tabs>
        <w:tab w:val="clear" w:pos="1021"/>
      </w:tabs>
      <w:ind w:left="1037" w:hanging="357"/>
    </w:pPr>
  </w:style>
  <w:style w:type="paragraph" w:styleId="ListBullet4">
    <w:name w:val="List Bullet 4"/>
    <w:basedOn w:val="List4"/>
    <w:rsid w:val="00AC66C0"/>
    <w:pPr>
      <w:numPr>
        <w:numId w:val="3"/>
      </w:numPr>
    </w:pPr>
  </w:style>
  <w:style w:type="paragraph" w:styleId="ListBullet5">
    <w:name w:val="List Bullet 5"/>
    <w:basedOn w:val="List5"/>
    <w:rsid w:val="00AC66C0"/>
    <w:pPr>
      <w:numPr>
        <w:numId w:val="4"/>
      </w:numPr>
    </w:pPr>
  </w:style>
  <w:style w:type="paragraph" w:styleId="ListContinue2">
    <w:name w:val="List Continue 2"/>
    <w:basedOn w:val="List2"/>
    <w:rsid w:val="00AC66C0"/>
    <w:pPr>
      <w:ind w:firstLine="0"/>
    </w:pPr>
  </w:style>
  <w:style w:type="paragraph" w:styleId="ListContinue3">
    <w:name w:val="List Continue 3"/>
    <w:basedOn w:val="List3"/>
    <w:rsid w:val="00AC66C0"/>
    <w:pPr>
      <w:ind w:left="1021" w:firstLine="0"/>
    </w:pPr>
  </w:style>
  <w:style w:type="paragraph" w:styleId="ListContinue4">
    <w:name w:val="List Continue 4"/>
    <w:basedOn w:val="List4"/>
    <w:rsid w:val="00AC66C0"/>
    <w:pPr>
      <w:ind w:firstLine="0"/>
    </w:pPr>
  </w:style>
  <w:style w:type="paragraph" w:styleId="ListContinue5">
    <w:name w:val="List Continue 5"/>
    <w:basedOn w:val="List5"/>
    <w:rsid w:val="00AC66C0"/>
    <w:pPr>
      <w:ind w:firstLine="0"/>
    </w:pPr>
  </w:style>
  <w:style w:type="paragraph" w:styleId="ListNumber3">
    <w:name w:val="List Number 3"/>
    <w:basedOn w:val="List3"/>
    <w:rsid w:val="00AC66C0"/>
    <w:pPr>
      <w:numPr>
        <w:numId w:val="5"/>
      </w:numPr>
    </w:pPr>
  </w:style>
  <w:style w:type="paragraph" w:styleId="ListNumber4">
    <w:name w:val="List Number 4"/>
    <w:basedOn w:val="List4"/>
    <w:rsid w:val="00AC66C0"/>
    <w:pPr>
      <w:numPr>
        <w:numId w:val="6"/>
      </w:numPr>
    </w:pPr>
  </w:style>
  <w:style w:type="paragraph" w:styleId="ListNumber5">
    <w:name w:val="List Number 5"/>
    <w:basedOn w:val="List5"/>
    <w:rsid w:val="00AC66C0"/>
    <w:pPr>
      <w:numPr>
        <w:numId w:val="7"/>
      </w:numPr>
    </w:pPr>
  </w:style>
  <w:style w:type="paragraph" w:styleId="BlockText">
    <w:name w:val="Block Text"/>
    <w:basedOn w:val="Normal"/>
    <w:rsid w:val="00AC66C0"/>
    <w:pPr>
      <w:spacing w:after="120"/>
      <w:ind w:left="1440" w:right="1440"/>
    </w:pPr>
  </w:style>
  <w:style w:type="character" w:customStyle="1" w:styleId="Subscript">
    <w:name w:val="Subscript"/>
    <w:basedOn w:val="DefaultParagraphFont"/>
    <w:rsid w:val="00AC66C0"/>
    <w:rPr>
      <w:sz w:val="16"/>
      <w:vertAlign w:val="subscript"/>
    </w:rPr>
  </w:style>
  <w:style w:type="character" w:customStyle="1" w:styleId="Superscript">
    <w:name w:val="Superscript"/>
    <w:basedOn w:val="DefaultParagraphFont"/>
    <w:rsid w:val="00AC66C0"/>
    <w:rPr>
      <w:sz w:val="16"/>
      <w:vertAlign w:val="superscript"/>
    </w:rPr>
  </w:style>
  <w:style w:type="character" w:customStyle="1" w:styleId="Symbols">
    <w:name w:val="Symbols"/>
    <w:basedOn w:val="DefaultParagraphFont"/>
    <w:rsid w:val="00AC66C0"/>
    <w:rPr>
      <w:rFonts w:ascii="Symbol" w:hAnsi="Symbol"/>
    </w:rPr>
  </w:style>
  <w:style w:type="character" w:customStyle="1" w:styleId="MenuOptions">
    <w:name w:val="Menu Options"/>
    <w:basedOn w:val="DefaultParagraphFont"/>
    <w:rsid w:val="00AC66C0"/>
    <w:rPr>
      <w:rFonts w:ascii="Arial Narrow" w:hAnsi="Arial Narrow"/>
      <w:smallCaps/>
    </w:rPr>
  </w:style>
  <w:style w:type="character" w:customStyle="1" w:styleId="Buttons">
    <w:name w:val="Buttons"/>
    <w:basedOn w:val="DefaultParagraphFont"/>
    <w:rsid w:val="00AC66C0"/>
    <w:rPr>
      <w:b/>
    </w:rPr>
  </w:style>
  <w:style w:type="character" w:customStyle="1" w:styleId="Underlined">
    <w:name w:val="Underlined"/>
    <w:basedOn w:val="DefaultParagraphFont"/>
    <w:rsid w:val="00AC66C0"/>
    <w:rPr>
      <w:u w:val="single"/>
    </w:rPr>
  </w:style>
  <w:style w:type="paragraph" w:customStyle="1" w:styleId="TableBodyTextRight">
    <w:name w:val="Table Body Text Right"/>
    <w:basedOn w:val="TableBodyText"/>
    <w:rsid w:val="00AC66C0"/>
    <w:pPr>
      <w:widowControl w:val="0"/>
      <w:autoSpaceDE w:val="0"/>
      <w:autoSpaceDN w:val="0"/>
      <w:adjustRightInd w:val="0"/>
      <w:jc w:val="right"/>
    </w:pPr>
    <w:rPr>
      <w:rFonts w:cs="Arial"/>
      <w:szCs w:val="18"/>
    </w:rPr>
  </w:style>
  <w:style w:type="paragraph" w:customStyle="1" w:styleId="CopyrightText">
    <w:name w:val="Copyright Text"/>
    <w:basedOn w:val="BodyText"/>
    <w:rsid w:val="00AC66C0"/>
    <w:rPr>
      <w:sz w:val="18"/>
    </w:rPr>
  </w:style>
  <w:style w:type="paragraph" w:customStyle="1" w:styleId="BodySmallRight">
    <w:name w:val="Body Small Right"/>
    <w:basedOn w:val="BodyTextRight"/>
    <w:rsid w:val="00AC66C0"/>
    <w:rPr>
      <w:sz w:val="18"/>
      <w:szCs w:val="18"/>
    </w:rPr>
  </w:style>
  <w:style w:type="paragraph" w:customStyle="1" w:styleId="MarginEdition">
    <w:name w:val="Margin Edition"/>
    <w:basedOn w:val="MarginNote"/>
    <w:rsid w:val="00AC66C0"/>
    <w:pPr>
      <w:spacing w:before="0" w:after="0"/>
    </w:pPr>
    <w:rPr>
      <w:rFonts w:ascii="Times New Roman" w:hAnsi="Times New Roman"/>
      <w:color w:val="999999"/>
    </w:rPr>
  </w:style>
  <w:style w:type="paragraph" w:customStyle="1" w:styleId="Spacer">
    <w:name w:val="Spacer"/>
    <w:basedOn w:val="Normal"/>
    <w:rsid w:val="00AC66C0"/>
    <w:rPr>
      <w:sz w:val="2"/>
      <w:szCs w:val="2"/>
    </w:rPr>
  </w:style>
  <w:style w:type="character" w:customStyle="1" w:styleId="Small">
    <w:name w:val="Small"/>
    <w:basedOn w:val="DefaultParagraphFont"/>
    <w:rsid w:val="00AC66C0"/>
    <w:rPr>
      <w:sz w:val="16"/>
    </w:rPr>
  </w:style>
  <w:style w:type="paragraph" w:customStyle="1" w:styleId="WideTable">
    <w:name w:val="Wide Table"/>
    <w:basedOn w:val="Normal"/>
    <w:rsid w:val="00AC66C0"/>
    <w:pPr>
      <w:ind w:left="-1418"/>
    </w:pPr>
    <w:rPr>
      <w:sz w:val="2"/>
      <w:szCs w:val="2"/>
    </w:rPr>
  </w:style>
  <w:style w:type="character" w:styleId="PageNumber">
    <w:name w:val="page number"/>
    <w:basedOn w:val="DefaultParagraphFont"/>
    <w:rsid w:val="00AC66C0"/>
  </w:style>
  <w:style w:type="paragraph" w:styleId="Quote">
    <w:name w:val="Quote"/>
    <w:basedOn w:val="Heading1"/>
    <w:link w:val="QuoteChar"/>
    <w:qFormat/>
    <w:rsid w:val="00AC66C0"/>
    <w:rPr>
      <w:b w:val="0"/>
      <w:sz w:val="72"/>
      <w:szCs w:val="72"/>
      <w:lang w:val="en-NZ"/>
    </w:rPr>
  </w:style>
  <w:style w:type="character" w:customStyle="1" w:styleId="QuoteChar">
    <w:name w:val="Quote Char"/>
    <w:basedOn w:val="DefaultParagraphFont"/>
    <w:link w:val="Quote"/>
    <w:rsid w:val="00AC66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66C0"/>
    <w:pPr>
      <w:pageBreakBefore/>
    </w:pPr>
  </w:style>
  <w:style w:type="paragraph" w:customStyle="1" w:styleId="Border">
    <w:name w:val="Border"/>
    <w:basedOn w:val="Normal"/>
    <w:qFormat/>
    <w:rsid w:val="00AC66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66C0"/>
    <w:rPr>
      <w:b/>
      <w:bCs/>
      <w:i/>
      <w:iCs/>
      <w:color w:val="auto"/>
    </w:rPr>
  </w:style>
  <w:style w:type="paragraph" w:styleId="IntenseQuote">
    <w:name w:val="Intense Quote"/>
    <w:basedOn w:val="Normal"/>
    <w:next w:val="Normal"/>
    <w:link w:val="IntenseQuoteChar"/>
    <w:uiPriority w:val="30"/>
    <w:qFormat/>
    <w:rsid w:val="00AC66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66C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C66C0"/>
    <w:rPr>
      <w:smallCaps/>
      <w:color w:val="auto"/>
      <w:u w:val="single"/>
    </w:rPr>
  </w:style>
  <w:style w:type="character" w:styleId="IntenseReference">
    <w:name w:val="Intense Reference"/>
    <w:basedOn w:val="DefaultParagraphFont"/>
    <w:uiPriority w:val="32"/>
    <w:qFormat/>
    <w:rsid w:val="00AC66C0"/>
    <w:rPr>
      <w:b/>
      <w:bCs/>
      <w:smallCaps/>
      <w:color w:val="auto"/>
      <w:spacing w:val="5"/>
      <w:u w:val="single"/>
    </w:rPr>
  </w:style>
  <w:style w:type="paragraph" w:customStyle="1" w:styleId="2ColumnHeading">
    <w:name w:val="2Column Heading"/>
    <w:basedOn w:val="BodyText"/>
    <w:qFormat/>
    <w:rsid w:val="00AC66C0"/>
    <w:pPr>
      <w:spacing w:after="60"/>
      <w:ind w:left="-2268"/>
    </w:pPr>
    <w:rPr>
      <w:b/>
    </w:rPr>
  </w:style>
  <w:style w:type="paragraph" w:customStyle="1" w:styleId="Heading1TOC">
    <w:name w:val="Heading1 TOC"/>
    <w:basedOn w:val="Normal"/>
    <w:qFormat/>
    <w:rsid w:val="00AC66C0"/>
    <w:pPr>
      <w:spacing w:before="240" w:after="120"/>
    </w:pPr>
    <w:rPr>
      <w:rFonts w:ascii="Times New Roman" w:hAnsi="Times New Roman"/>
      <w:b/>
      <w:sz w:val="32"/>
    </w:rPr>
  </w:style>
  <w:style w:type="paragraph" w:customStyle="1" w:styleId="Heading2TOC">
    <w:name w:val="Heading2 TOC"/>
    <w:basedOn w:val="Normal"/>
    <w:qFormat/>
    <w:rsid w:val="00AC66C0"/>
    <w:pPr>
      <w:spacing w:before="240" w:after="60"/>
    </w:pPr>
    <w:rPr>
      <w:rFonts w:ascii="Times New Roman" w:hAnsi="Times New Roman"/>
      <w:b/>
      <w:sz w:val="28"/>
    </w:rPr>
  </w:style>
  <w:style w:type="character" w:customStyle="1" w:styleId="Underline">
    <w:name w:val="Underline"/>
    <w:basedOn w:val="DefaultParagraphFont"/>
    <w:qFormat/>
    <w:rsid w:val="00AC66C0"/>
    <w:rPr>
      <w:u w:val="single"/>
    </w:rPr>
  </w:style>
  <w:style w:type="character" w:customStyle="1" w:styleId="BoldandItalics">
    <w:name w:val="Bold and Italics"/>
    <w:qFormat/>
    <w:rsid w:val="00AC66C0"/>
    <w:rPr>
      <w:b/>
      <w:i/>
      <w:u w:val="none"/>
    </w:rPr>
  </w:style>
  <w:style w:type="paragraph" w:styleId="BalloonText">
    <w:name w:val="Balloon Text"/>
    <w:basedOn w:val="Normal"/>
    <w:link w:val="BalloonTextChar"/>
    <w:rsid w:val="00AC66C0"/>
    <w:rPr>
      <w:rFonts w:ascii="Tahoma" w:hAnsi="Tahoma" w:cs="Tahoma"/>
      <w:sz w:val="16"/>
      <w:szCs w:val="16"/>
    </w:rPr>
  </w:style>
  <w:style w:type="character" w:customStyle="1" w:styleId="BalloonTextChar">
    <w:name w:val="Balloon Text Char"/>
    <w:basedOn w:val="DefaultParagraphFont"/>
    <w:link w:val="BalloonText"/>
    <w:rsid w:val="00AC66C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C66C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C66C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1170</Words>
  <Characters>7147</Characters>
  <Application>Microsoft Office Word</Application>
  <DocSecurity>0</DocSecurity>
  <Lines>266</Lines>
  <Paragraphs>125</Paragraphs>
  <ScaleCrop>false</ScaleCrop>
  <Company>Author-it Software Corporation Ltd.</Company>
  <LinksUpToDate>false</LinksUpToDate>
  <CharactersWithSpaces>8260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CHCFLE301A Work with clients needing financial literacy education</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2012-05-26T14:37:00Z</dcterms:created>
  <dcterms:modified xsi:type="dcterms:W3CDTF">2012-05-26T14:37:00Z</dcterms:modified>
</cp:coreProperties>
</file>