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E9B" w:rsidP="00960E9B">
      <w:pPr>
        <w:pStyle w:val="Title"/>
      </w:pPr>
      <w:bookmarkStart w:id="0" w:name="_GoBack"/>
      <w:bookmarkEnd w:id="0"/>
      <w:r>
        <w:fldChar w:fldCharType="begin"/>
      </w:r>
      <w:r>
        <w:instrText xml:space="preserve"> TITLE   \* MERGEFORMAT </w:instrText>
      </w:r>
      <w:r>
        <w:fldChar w:fldCharType="separate"/>
      </w:r>
      <w:r>
        <w:t>CHCFIN501A Identify and apply technical information to assist clients with financial issues</w:t>
      </w:r>
      <w:r>
        <w:fldChar w:fldCharType="end"/>
      </w:r>
    </w:p>
    <w:p w:rsidR="00960E9B" w:rsidP="00960E9B">
      <w:pPr>
        <w:pStyle w:val="Version"/>
        <w:sectPr w:rsidSect="00D93E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E83" w:rsidP="00D93E83">
      <w:pPr>
        <w:pStyle w:val="SuperHeading"/>
      </w:pPr>
      <w:r w:rsidRPr="00D93E83">
        <w:t>CHCFIN501A Identify and apply technical information to assist clients with financial issues</w:t>
      </w:r>
    </w:p>
    <w:p w:rsidR="00000000" w:rsidRPr="00D93E83" w:rsidP="00D93E83">
      <w:pPr>
        <w:pStyle w:val="Heading1"/>
      </w:pPr>
      <w:bookmarkStart w:id="1" w:name="O_269167"/>
      <w:bookmarkEnd w:id="1"/>
      <w:r w:rsidRPr="00D93E83">
        <w:t>Modification History</w:t>
      </w:r>
    </w:p>
    <w:p w:rsidR="00000000" w:rsidRPr="00D93E83" w:rsidP="00D93E83">
      <w:pPr>
        <w:pStyle w:val="BodyText"/>
      </w:pPr>
      <w:r w:rsidRPr="00D93E83">
        <w:t>Not Applicable</w:t>
      </w:r>
    </w:p>
    <w:p w:rsidR="00000000" w:rsidRPr="00D93E83" w:rsidP="00D93E83">
      <w:pPr>
        <w:pStyle w:val="AllowPageBreak"/>
      </w:pPr>
    </w:p>
    <w:p w:rsidR="00000000" w:rsidRPr="00D93E83" w:rsidP="00D93E83">
      <w:pPr>
        <w:pStyle w:val="Heading1"/>
      </w:pPr>
      <w:bookmarkStart w:id="2" w:name="O_195945"/>
      <w:bookmarkEnd w:id="2"/>
      <w:r w:rsidRPr="00D93E83">
        <w:t xml:space="preserve">Unit </w:t>
      </w:r>
      <w:r w:rsidRPr="00D93E83">
        <w:t>Descriptor</w:t>
      </w:r>
    </w:p>
    <w:tbl>
      <w:tblPr>
        <w:tblW w:w="0" w:type="auto"/>
        <w:tblLayout w:type="fixed"/>
        <w:tblCellMar>
          <w:left w:w="62" w:type="dxa"/>
          <w:right w:w="62" w:type="dxa"/>
        </w:tblCellMar>
        <w:tblLook w:val="0000"/>
      </w:tblPr>
      <w:tblGrid>
        <w:gridCol w:w="3339"/>
        <w:gridCol w:w="5217"/>
      </w:tblGrid>
      <w:tr w:rsidTr="00960E9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r w:rsidRPr="00D93E8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93E83" w:rsidP="00D93E83">
            <w:pPr>
              <w:pStyle w:val="BodyText"/>
            </w:pPr>
            <w:r w:rsidRPr="00D93E83">
              <w:t>This unit describes the application of legal and technical information required by financial counsellors as a basis for assisting individuals to make informed decisions relating to present and future financial issues</w:t>
            </w:r>
          </w:p>
        </w:tc>
      </w:tr>
    </w:tbl>
    <w:p w:rsidR="00960E9B" w:rsidP="00D93E83">
      <w:pPr>
        <w:pStyle w:val="BodyText"/>
      </w:pPr>
    </w:p>
    <w:p w:rsidR="00960E9B" w:rsidP="00D93E83">
      <w:pPr>
        <w:pStyle w:val="BodyText"/>
      </w:pPr>
    </w:p>
    <w:p w:rsidR="00000000" w:rsidRPr="00D93E83" w:rsidP="00D93E83">
      <w:pPr>
        <w:pStyle w:val="Heading1"/>
      </w:pPr>
      <w:bookmarkStart w:id="3" w:name="O_195947"/>
      <w:bookmarkEnd w:id="3"/>
      <w:r w:rsidRPr="00D93E83">
        <w:t>Application of the Unit</w:t>
      </w:r>
    </w:p>
    <w:tbl>
      <w:tblPr>
        <w:tblW w:w="0" w:type="auto"/>
        <w:tblLayout w:type="fixed"/>
        <w:tblCellMar>
          <w:left w:w="62" w:type="dxa"/>
          <w:right w:w="62" w:type="dxa"/>
        </w:tblCellMar>
        <w:tblLook w:val="0000"/>
      </w:tblPr>
      <w:tblGrid>
        <w:gridCol w:w="3344"/>
        <w:gridCol w:w="5212"/>
      </w:tblGrid>
      <w:tr w:rsidTr="00960E9B">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r w:rsidRPr="00D93E83">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D93E83" w:rsidP="00D93E83">
            <w:pPr>
              <w:pStyle w:val="BodyText"/>
            </w:pPr>
            <w:r w:rsidRPr="00D93E83">
              <w:t>This unit is about the identification of technical information for application in a financial counselling context</w:t>
            </w:r>
          </w:p>
          <w:p w:rsidR="00000000" w:rsidRPr="00D93E83" w:rsidP="00D93E83">
            <w:pPr>
              <w:pStyle w:val="BodyText"/>
            </w:pPr>
            <w:r w:rsidRPr="00D93E83">
              <w:t xml:space="preserve">Clients are provided with specific technical information and are supported to explore options and </w:t>
            </w:r>
            <w:r w:rsidRPr="00D93E83">
              <w:t>make decisions in the context of their overall personal situation</w:t>
            </w:r>
          </w:p>
          <w:p w:rsidR="00000000" w:rsidRPr="00D93E83" w:rsidP="00D93E83">
            <w:pPr>
              <w:pStyle w:val="BodyText"/>
            </w:pPr>
            <w:r w:rsidRPr="00D93E83">
              <w:t xml:space="preserve">In order to qualify for the ASIC exemption from the delivery of financial service contained in the Financial Services Reform Amendment Act (2003) a financial counsellor must be eligible for </w:t>
            </w:r>
            <w:r w:rsidRPr="00D93E83">
              <w:t>membership of the financial counselling association recognised in their State or Territory</w:t>
            </w:r>
          </w:p>
          <w:p w:rsidR="00000000" w:rsidRPr="00D93E83" w:rsidP="00D93E83">
            <w:pPr>
              <w:pStyle w:val="BodyText"/>
            </w:pPr>
            <w:r w:rsidRPr="00D93E83">
              <w:t>Financial counselling operates from a strengths-based and client-focused model</w:t>
            </w:r>
          </w:p>
        </w:tc>
      </w:tr>
    </w:tbl>
    <w:p w:rsidR="00960E9B" w:rsidP="00D93E83">
      <w:pPr>
        <w:pStyle w:val="BodyText"/>
      </w:pPr>
    </w:p>
    <w:p w:rsidR="00960E9B" w:rsidP="00D93E83">
      <w:pPr>
        <w:pStyle w:val="BodyText"/>
      </w:pPr>
    </w:p>
    <w:p w:rsidR="00000000" w:rsidRPr="00D93E83" w:rsidP="00D93E83">
      <w:pPr>
        <w:pStyle w:val="Heading1"/>
      </w:pPr>
      <w:bookmarkStart w:id="4" w:name="O_277427"/>
      <w:bookmarkEnd w:id="4"/>
      <w:r w:rsidRPr="00D93E83">
        <w:t>Licensing/Regulatory Information</w:t>
      </w:r>
    </w:p>
    <w:p w:rsidR="00000000" w:rsidRPr="00D93E83" w:rsidP="00D93E83">
      <w:pPr>
        <w:pStyle w:val="BodyText"/>
      </w:pPr>
      <w:r w:rsidRPr="00D93E83">
        <w:t>Not Applicable</w:t>
      </w:r>
    </w:p>
    <w:p w:rsidR="00000000" w:rsidRPr="00D93E83" w:rsidP="00D93E83">
      <w:pPr>
        <w:pStyle w:val="AllowPageBreak"/>
      </w:pPr>
    </w:p>
    <w:p w:rsidR="00000000" w:rsidRPr="00D93E83" w:rsidP="00D93E83">
      <w:pPr>
        <w:pStyle w:val="Heading1"/>
      </w:pPr>
      <w:bookmarkStart w:id="5" w:name="O_283268"/>
      <w:bookmarkEnd w:id="5"/>
      <w:r w:rsidRPr="00D93E83">
        <w:t>Pre-Requisites</w:t>
      </w:r>
    </w:p>
    <w:p w:rsidR="00000000" w:rsidRPr="00D93E83" w:rsidP="00D93E83">
      <w:pPr>
        <w:pStyle w:val="BodyText"/>
      </w:pPr>
      <w:r w:rsidRPr="00D93E83">
        <w:t>Not Applicable</w:t>
      </w:r>
    </w:p>
    <w:p w:rsidR="00000000" w:rsidRPr="00D93E83" w:rsidP="00D93E83">
      <w:pPr>
        <w:pStyle w:val="AllowPageBreak"/>
      </w:pPr>
    </w:p>
    <w:p w:rsidR="00000000" w:rsidRPr="00D93E83" w:rsidP="00D93E83">
      <w:pPr>
        <w:pStyle w:val="Heading1"/>
      </w:pPr>
      <w:bookmarkStart w:id="6" w:name="O_195946"/>
      <w:bookmarkEnd w:id="6"/>
      <w:r w:rsidRPr="00D93E83">
        <w:t>Employability Skills Information</w:t>
      </w:r>
    </w:p>
    <w:tbl>
      <w:tblPr>
        <w:tblW w:w="0" w:type="auto"/>
        <w:tblLayout w:type="fixed"/>
        <w:tblCellMar>
          <w:left w:w="62" w:type="dxa"/>
          <w:right w:w="62" w:type="dxa"/>
        </w:tblCellMar>
        <w:tblLook w:val="0000"/>
      </w:tblPr>
      <w:tblGrid>
        <w:gridCol w:w="3320"/>
        <w:gridCol w:w="5236"/>
      </w:tblGrid>
      <w:tr w:rsidTr="00960E9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r w:rsidRPr="00D93E8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93E83" w:rsidP="00D93E83">
            <w:pPr>
              <w:pStyle w:val="BodyText"/>
            </w:pPr>
            <w:r w:rsidRPr="00D93E83">
              <w:t>This unit contains Employability Skills</w:t>
            </w:r>
          </w:p>
        </w:tc>
      </w:tr>
    </w:tbl>
    <w:p w:rsidR="00960E9B" w:rsidP="00D93E83">
      <w:pPr>
        <w:pStyle w:val="BodyText"/>
      </w:pPr>
    </w:p>
    <w:p w:rsidR="00960E9B" w:rsidP="00D93E83">
      <w:pPr>
        <w:pStyle w:val="BodyText"/>
      </w:pPr>
    </w:p>
    <w:p w:rsidR="00000000" w:rsidRPr="00D93E83" w:rsidP="00D93E83">
      <w:pPr>
        <w:pStyle w:val="Heading1"/>
      </w:pPr>
      <w:bookmarkStart w:id="7" w:name="O_287213"/>
      <w:bookmarkEnd w:id="7"/>
      <w:r w:rsidRPr="00D93E83">
        <w:t>Elements and Performance Criteria Pre-Content</w:t>
      </w:r>
    </w:p>
    <w:tbl>
      <w:tblPr>
        <w:tblW w:w="0" w:type="auto"/>
        <w:tblLayout w:type="fixed"/>
        <w:tblCellMar>
          <w:left w:w="62" w:type="dxa"/>
          <w:right w:w="62" w:type="dxa"/>
        </w:tblCellMar>
        <w:tblLook w:val="0000"/>
      </w:tblPr>
      <w:tblGrid>
        <w:gridCol w:w="3369"/>
        <w:gridCol w:w="5702"/>
      </w:tblGrid>
      <w:tr w:rsidTr="00960E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r w:rsidRPr="00D93E83">
              <w:t>Elements define the essential outcomes of</w:t>
            </w:r>
            <w:r w:rsidRPr="00D93E83">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D93E83" w:rsidP="00D93E83">
            <w:pPr>
              <w:pStyle w:val="BodyText"/>
            </w:pPr>
            <w:r w:rsidRPr="00D93E83">
              <w:t xml:space="preserve">The Performance Criteria specify the level of performance required to demonstrate achievement of the Element. Terms in italics are elaborated in the Range Statement. </w:t>
            </w:r>
          </w:p>
        </w:tc>
      </w:tr>
    </w:tbl>
    <w:p w:rsidR="00000000" w:rsidRPr="00D93E83" w:rsidP="00D93E83">
      <w:pPr>
        <w:pStyle w:val="BodyText"/>
      </w:pPr>
    </w:p>
    <w:p w:rsidR="00000000" w:rsidRPr="00D93E83" w:rsidP="00D93E83">
      <w:pPr>
        <w:pStyle w:val="AllowPageBreak"/>
      </w:pPr>
    </w:p>
    <w:p w:rsidR="00000000" w:rsidRPr="00D93E83" w:rsidP="00D93E83">
      <w:pPr>
        <w:pStyle w:val="Heading1"/>
      </w:pPr>
      <w:bookmarkStart w:id="8" w:name="O_233880"/>
      <w:bookmarkEnd w:id="8"/>
      <w:r w:rsidRPr="00D93E83">
        <w:t>Elements and Performance Criteria</w:t>
      </w:r>
    </w:p>
    <w:tbl>
      <w:tblPr>
        <w:tblW w:w="0" w:type="auto"/>
        <w:tblLayout w:type="fixed"/>
        <w:tblCellMar>
          <w:left w:w="62" w:type="dxa"/>
          <w:right w:w="62" w:type="dxa"/>
        </w:tblCellMar>
        <w:tblLook w:val="0000"/>
      </w:tblPr>
      <w:tblGrid>
        <w:gridCol w:w="3369"/>
        <w:gridCol w:w="5702"/>
      </w:tblGrid>
      <w:tr w:rsidTr="00960E9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93E83" w:rsidP="00D93E83">
            <w:pPr>
              <w:pStyle w:val="BodyText"/>
            </w:pPr>
            <w:r w:rsidRPr="00D93E8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r w:rsidRPr="00D93E83">
              <w:rPr>
                <w:rStyle w:val="SpecialBold"/>
              </w:rPr>
              <w:t>PERFORMANCE CRITERIA</w:t>
            </w:r>
          </w:p>
        </w:tc>
      </w:tr>
      <w:tr w:rsidTr="00960E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3E83">
            <w:pPr>
              <w:pStyle w:val="List"/>
              <w:rPr>
                <w:lang w:val="en-NZ"/>
              </w:rPr>
            </w:pPr>
            <w:r w:rsidRPr="00D93E83">
              <w:t>1.</w:t>
            </w:r>
            <w:r w:rsidRPr="00D93E83">
              <w:tab/>
              <w:t>Review client income sources</w:t>
            </w:r>
          </w:p>
        </w:tc>
        <w:tc>
          <w:tcPr>
            <w:tcW w:w="5702" w:type="dxa"/>
            <w:tcBorders>
              <w:top w:val="nil"/>
              <w:left w:val="nil"/>
              <w:bottom w:val="nil"/>
              <w:right w:val="nil"/>
            </w:tcBorders>
            <w:tcMar>
              <w:top w:w="0" w:type="dxa"/>
              <w:left w:w="62" w:type="dxa"/>
              <w:bottom w:w="0" w:type="dxa"/>
              <w:right w:w="62" w:type="dxa"/>
            </w:tcMar>
          </w:tcPr>
          <w:p w:rsidR="00000000" w:rsidRPr="00D93E83" w:rsidP="00D93E83">
            <w:pPr>
              <w:pStyle w:val="BodyText"/>
            </w:pPr>
            <w:r w:rsidRPr="00D93E83">
              <w:t>1.1</w:t>
            </w:r>
            <w:r w:rsidRPr="00D93E83">
              <w:tab/>
              <w:t xml:space="preserve">Review available </w:t>
            </w:r>
            <w:r w:rsidRPr="00D93E83">
              <w:rPr>
                <w:rStyle w:val="Emphasis"/>
              </w:rPr>
              <w:t>information</w:t>
            </w:r>
            <w:r w:rsidRPr="00D93E83">
              <w:t xml:space="preserve"> about client income </w:t>
            </w:r>
          </w:p>
          <w:p w:rsidR="00000000" w:rsidRPr="00D93E83" w:rsidP="00D93E83">
            <w:pPr>
              <w:pStyle w:val="BodyText"/>
            </w:pPr>
            <w:r w:rsidRPr="00D93E83">
              <w:t>1.2</w:t>
            </w:r>
            <w:r w:rsidRPr="00D93E83">
              <w:tab/>
              <w:t>Identify potential income sources and entitlements for client</w:t>
            </w:r>
          </w:p>
          <w:p w:rsidR="00000000" w:rsidP="00D93E83">
            <w:pPr>
              <w:pStyle w:val="BodyText"/>
              <w:rPr>
                <w:lang w:val="en-NZ"/>
              </w:rPr>
            </w:pPr>
            <w:r w:rsidRPr="00D93E83">
              <w:t>1.3</w:t>
            </w:r>
            <w:r w:rsidRPr="00D93E83">
              <w:tab/>
              <w:t>Inform client of potential for additional or different income sources or entit</w:t>
            </w:r>
            <w:r w:rsidRPr="00D93E83">
              <w:t>lements to improve their financial situation</w:t>
            </w:r>
          </w:p>
        </w:tc>
      </w:tr>
      <w:tr w:rsidTr="00960E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p>
        </w:tc>
      </w:tr>
      <w:tr w:rsidTr="00960E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3E83">
            <w:pPr>
              <w:pStyle w:val="List"/>
              <w:rPr>
                <w:lang w:val="en-NZ"/>
              </w:rPr>
            </w:pPr>
            <w:r w:rsidRPr="00D93E83">
              <w:t>2.</w:t>
            </w:r>
            <w:r w:rsidRPr="00D93E83">
              <w:tab/>
              <w:t>Ensure client is receiving appropriate information regarding living expenses</w:t>
            </w:r>
          </w:p>
        </w:tc>
        <w:tc>
          <w:tcPr>
            <w:tcW w:w="5702" w:type="dxa"/>
            <w:tcBorders>
              <w:top w:val="nil"/>
              <w:left w:val="nil"/>
              <w:bottom w:val="nil"/>
              <w:right w:val="nil"/>
            </w:tcBorders>
            <w:tcMar>
              <w:top w:w="0" w:type="dxa"/>
              <w:left w:w="62" w:type="dxa"/>
              <w:bottom w:w="0" w:type="dxa"/>
              <w:right w:w="62" w:type="dxa"/>
            </w:tcMar>
          </w:tcPr>
          <w:p w:rsidR="00000000" w:rsidRPr="00D93E83" w:rsidP="00D93E83">
            <w:pPr>
              <w:pStyle w:val="BodyText"/>
            </w:pPr>
            <w:r w:rsidRPr="00D93E83">
              <w:t>2.1</w:t>
            </w:r>
            <w:r w:rsidRPr="00D93E83">
              <w:tab/>
              <w:t xml:space="preserve">Review and document client's approach to managing living expenses </w:t>
            </w:r>
          </w:p>
          <w:p w:rsidR="00000000" w:rsidRPr="00D93E83" w:rsidP="00D93E83">
            <w:pPr>
              <w:pStyle w:val="BodyText"/>
            </w:pPr>
            <w:r w:rsidRPr="00D93E83">
              <w:t>2.2</w:t>
            </w:r>
            <w:r w:rsidRPr="00D93E83">
              <w:tab/>
            </w:r>
            <w:r w:rsidRPr="00D93E83">
              <w:t>Identify client's options and rights for managing living expenses</w:t>
            </w:r>
          </w:p>
          <w:p w:rsidR="00000000" w:rsidP="00D93E83">
            <w:pPr>
              <w:pStyle w:val="BodyText"/>
              <w:rPr>
                <w:lang w:val="en-NZ"/>
              </w:rPr>
            </w:pPr>
            <w:r w:rsidRPr="00D93E83">
              <w:t>2.3</w:t>
            </w:r>
            <w:r w:rsidRPr="00D93E83">
              <w:tab/>
              <w:t>Provide additional information as required to address gaps in client knowledge re living expenses and available support</w:t>
            </w:r>
          </w:p>
        </w:tc>
      </w:tr>
      <w:tr w:rsidTr="00960E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p>
        </w:tc>
      </w:tr>
      <w:tr w:rsidTr="00960E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3E83">
            <w:pPr>
              <w:pStyle w:val="List"/>
              <w:rPr>
                <w:lang w:val="en-NZ"/>
              </w:rPr>
            </w:pPr>
            <w:r w:rsidRPr="00D93E83">
              <w:t>3.</w:t>
            </w:r>
            <w:r w:rsidRPr="00D93E83">
              <w:tab/>
              <w:t xml:space="preserve">Ensure client understands their rights in respect to legal </w:t>
            </w:r>
            <w:r w:rsidRPr="00D93E83">
              <w:t>and consumer protection</w:t>
            </w:r>
          </w:p>
        </w:tc>
        <w:tc>
          <w:tcPr>
            <w:tcW w:w="5702" w:type="dxa"/>
            <w:tcBorders>
              <w:top w:val="nil"/>
              <w:left w:val="nil"/>
              <w:bottom w:val="nil"/>
              <w:right w:val="nil"/>
            </w:tcBorders>
            <w:tcMar>
              <w:top w:w="0" w:type="dxa"/>
              <w:left w:w="62" w:type="dxa"/>
              <w:bottom w:w="0" w:type="dxa"/>
              <w:right w:w="62" w:type="dxa"/>
            </w:tcMar>
          </w:tcPr>
          <w:p w:rsidR="00000000" w:rsidRPr="00D93E83" w:rsidP="00D93E83">
            <w:pPr>
              <w:pStyle w:val="BodyText"/>
            </w:pPr>
            <w:r w:rsidRPr="00D93E83">
              <w:t>3.1</w:t>
            </w:r>
            <w:r w:rsidRPr="00D93E83">
              <w:tab/>
              <w:t>Clarify client's understanding of their rights re legal and consumer protection</w:t>
            </w:r>
          </w:p>
          <w:p w:rsidR="00000000" w:rsidRPr="00D93E83" w:rsidP="00D93E83">
            <w:pPr>
              <w:pStyle w:val="BodyText"/>
            </w:pPr>
            <w:r w:rsidRPr="00D93E83">
              <w:t>3.2</w:t>
            </w:r>
            <w:r w:rsidRPr="00D93E83">
              <w:tab/>
              <w:t>Discuss identified legal and consumer protection issues to highlight key areas that may require action</w:t>
            </w:r>
          </w:p>
          <w:p w:rsidR="00000000" w:rsidP="00D93E83">
            <w:pPr>
              <w:pStyle w:val="BodyText"/>
              <w:rPr>
                <w:lang w:val="en-NZ"/>
              </w:rPr>
            </w:pPr>
            <w:r w:rsidRPr="00D93E83">
              <w:t>3.3</w:t>
            </w:r>
            <w:r w:rsidRPr="00D93E83">
              <w:tab/>
              <w:t>Provide additional information as req</w:t>
            </w:r>
            <w:r w:rsidRPr="00D93E83">
              <w:t>uired to address gaps in client knowledge about their rights in relevant legal and consumer protection areas</w:t>
            </w:r>
          </w:p>
        </w:tc>
      </w:tr>
      <w:tr w:rsidTr="00960E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p>
        </w:tc>
      </w:tr>
      <w:tr w:rsidTr="00960E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3E83">
            <w:pPr>
              <w:pStyle w:val="List"/>
              <w:rPr>
                <w:lang w:val="en-NZ"/>
              </w:rPr>
            </w:pPr>
            <w:r w:rsidRPr="00D93E83">
              <w:t>4.</w:t>
            </w:r>
            <w:r w:rsidRPr="00D93E83">
              <w:tab/>
              <w:t>Identify types of debt presented by client</w:t>
            </w:r>
          </w:p>
        </w:tc>
        <w:tc>
          <w:tcPr>
            <w:tcW w:w="5702" w:type="dxa"/>
            <w:tcBorders>
              <w:top w:val="nil"/>
              <w:left w:val="nil"/>
              <w:bottom w:val="nil"/>
              <w:right w:val="nil"/>
            </w:tcBorders>
            <w:tcMar>
              <w:top w:w="0" w:type="dxa"/>
              <w:left w:w="62" w:type="dxa"/>
              <w:bottom w:w="0" w:type="dxa"/>
              <w:right w:w="62" w:type="dxa"/>
            </w:tcMar>
          </w:tcPr>
          <w:p w:rsidR="00000000" w:rsidRPr="00D93E83" w:rsidP="00D93E83">
            <w:pPr>
              <w:pStyle w:val="BodyText"/>
            </w:pPr>
            <w:r w:rsidRPr="00D93E83">
              <w:t>4.1</w:t>
            </w:r>
            <w:r w:rsidRPr="00D93E83">
              <w:tab/>
              <w:t>Review contracts and associated documentation to clarify validity of client debt</w:t>
            </w:r>
          </w:p>
          <w:p w:rsidR="00000000" w:rsidRPr="00D93E83" w:rsidP="00D93E83">
            <w:pPr>
              <w:pStyle w:val="BodyText"/>
            </w:pPr>
            <w:r w:rsidRPr="00D93E83">
              <w:t>4.2</w:t>
            </w:r>
            <w:r w:rsidRPr="00D93E83">
              <w:tab/>
              <w:t>Review a</w:t>
            </w:r>
            <w:r w:rsidRPr="00D93E83">
              <w:t>vailable information about areas of client debt and seek further information as required to clarify types of debt held for each client</w:t>
            </w:r>
          </w:p>
          <w:p w:rsidR="00000000" w:rsidP="00D93E83">
            <w:pPr>
              <w:pStyle w:val="BodyText"/>
              <w:rPr>
                <w:lang w:val="en-NZ"/>
              </w:rPr>
            </w:pPr>
            <w:r w:rsidRPr="00D93E83">
              <w:t>4.2</w:t>
            </w:r>
            <w:r w:rsidRPr="00D93E83">
              <w:tab/>
              <w:t>Provide information as required to assist client to understand the implications of different types of debt involved</w:t>
            </w:r>
          </w:p>
        </w:tc>
      </w:tr>
      <w:tr w:rsidTr="00960E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p>
        </w:tc>
      </w:tr>
      <w:tr w:rsidTr="00960E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3E83">
            <w:pPr>
              <w:pStyle w:val="List"/>
              <w:rPr>
                <w:lang w:val="en-NZ"/>
              </w:rPr>
            </w:pPr>
            <w:r w:rsidRPr="00D93E83">
              <w:t>5.</w:t>
            </w:r>
            <w:r w:rsidRPr="00D93E83">
              <w:tab/>
              <w:t>Identify options in regard to debt and debt recovery</w:t>
            </w:r>
          </w:p>
        </w:tc>
        <w:tc>
          <w:tcPr>
            <w:tcW w:w="5702" w:type="dxa"/>
            <w:tcBorders>
              <w:top w:val="nil"/>
              <w:left w:val="nil"/>
              <w:bottom w:val="nil"/>
              <w:right w:val="nil"/>
            </w:tcBorders>
            <w:tcMar>
              <w:top w:w="0" w:type="dxa"/>
              <w:left w:w="62" w:type="dxa"/>
              <w:bottom w:w="0" w:type="dxa"/>
              <w:right w:w="62" w:type="dxa"/>
            </w:tcMar>
          </w:tcPr>
          <w:p w:rsidR="00000000" w:rsidRPr="00D93E83" w:rsidP="00D93E83">
            <w:pPr>
              <w:pStyle w:val="BodyText"/>
            </w:pPr>
            <w:r w:rsidRPr="00D93E83">
              <w:t>5.1</w:t>
            </w:r>
            <w:r w:rsidRPr="00D93E83">
              <w:tab/>
              <w:t>Identify impact of debt and debt recovery processes on client's financial situation</w:t>
            </w:r>
          </w:p>
          <w:p w:rsidR="00000000" w:rsidRPr="00D93E83" w:rsidP="00D93E83">
            <w:pPr>
              <w:pStyle w:val="BodyText"/>
            </w:pPr>
            <w:r w:rsidRPr="00D93E83">
              <w:t>5.2</w:t>
            </w:r>
            <w:r w:rsidRPr="00D93E83">
              <w:tab/>
              <w:t>Review a range of options relevant to debt and debt recovery and identify potential consequences in relat</w:t>
            </w:r>
            <w:r w:rsidRPr="00D93E83">
              <w:t>ion to client's financial situation</w:t>
            </w:r>
          </w:p>
          <w:p w:rsidR="00000000" w:rsidP="00D93E83">
            <w:pPr>
              <w:pStyle w:val="BodyText"/>
              <w:rPr>
                <w:lang w:val="en-NZ"/>
              </w:rPr>
            </w:pPr>
            <w:r w:rsidRPr="00D93E83">
              <w:t>5.3</w:t>
            </w:r>
            <w:r w:rsidRPr="00D93E83">
              <w:tab/>
              <w:t>Identify appropriate strategies for debt and debt recovery to address client's particular financial situation</w:t>
            </w:r>
          </w:p>
        </w:tc>
      </w:tr>
      <w:tr w:rsidTr="00960E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p>
        </w:tc>
      </w:tr>
      <w:tr w:rsidTr="00960E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3E83">
            <w:pPr>
              <w:pStyle w:val="List"/>
              <w:rPr>
                <w:lang w:val="en-NZ"/>
              </w:rPr>
            </w:pPr>
            <w:r w:rsidRPr="00D93E83">
              <w:t>6.</w:t>
            </w:r>
            <w:r w:rsidRPr="00D93E83">
              <w:tab/>
              <w:t>Identify appropriate referral and support services</w:t>
            </w:r>
          </w:p>
        </w:tc>
        <w:tc>
          <w:tcPr>
            <w:tcW w:w="5702" w:type="dxa"/>
            <w:tcBorders>
              <w:top w:val="nil"/>
              <w:left w:val="nil"/>
              <w:bottom w:val="nil"/>
              <w:right w:val="nil"/>
            </w:tcBorders>
            <w:tcMar>
              <w:top w:w="0" w:type="dxa"/>
              <w:left w:w="62" w:type="dxa"/>
              <w:bottom w:w="0" w:type="dxa"/>
              <w:right w:w="62" w:type="dxa"/>
            </w:tcMar>
          </w:tcPr>
          <w:p w:rsidR="00000000" w:rsidRPr="00D93E83" w:rsidP="00D93E83">
            <w:pPr>
              <w:pStyle w:val="BodyText"/>
            </w:pPr>
            <w:r w:rsidRPr="00D93E83">
              <w:t>6.1</w:t>
            </w:r>
            <w:r w:rsidRPr="00D93E83">
              <w:tab/>
              <w:t>Apply knowledge of referral and support serv</w:t>
            </w:r>
            <w:r w:rsidRPr="00D93E83">
              <w:t>ices available to each client</w:t>
            </w:r>
          </w:p>
          <w:p w:rsidR="00000000" w:rsidRPr="00D93E83" w:rsidP="00D93E83">
            <w:pPr>
              <w:pStyle w:val="BodyText"/>
            </w:pPr>
            <w:r w:rsidRPr="00D93E83">
              <w:t>6.2</w:t>
            </w:r>
            <w:r w:rsidRPr="00D93E83">
              <w:tab/>
              <w:t xml:space="preserve">Provide relevant and accurate information to the client about services available to address client needs </w:t>
            </w:r>
          </w:p>
        </w:tc>
      </w:tr>
    </w:tbl>
    <w:p w:rsidR="00960E9B" w:rsidP="00D93E83">
      <w:pPr>
        <w:pStyle w:val="BodyText"/>
      </w:pPr>
    </w:p>
    <w:p w:rsidR="00960E9B" w:rsidP="00D93E83">
      <w:pPr>
        <w:pStyle w:val="BodyText"/>
      </w:pPr>
    </w:p>
    <w:p w:rsidR="00000000" w:rsidRPr="00D93E83" w:rsidP="00D93E83">
      <w:pPr>
        <w:pStyle w:val="Heading1"/>
      </w:pPr>
      <w:bookmarkStart w:id="9" w:name="O_257830"/>
      <w:bookmarkEnd w:id="9"/>
      <w:r w:rsidRPr="00D93E83">
        <w:t>Required Skills and Knowledge</w:t>
      </w:r>
    </w:p>
    <w:tbl>
      <w:tblPr>
        <w:tblW w:w="0" w:type="auto"/>
        <w:tblLayout w:type="fixed"/>
        <w:tblCellMar>
          <w:left w:w="62" w:type="dxa"/>
          <w:right w:w="62" w:type="dxa"/>
        </w:tblCellMar>
        <w:tblLook w:val="0000"/>
      </w:tblPr>
      <w:tblGrid>
        <w:gridCol w:w="9072"/>
      </w:tblGrid>
      <w:tr w:rsidTr="00960E9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r w:rsidRPr="00D93E83">
              <w:rPr>
                <w:rStyle w:val="SpecialBold"/>
              </w:rPr>
              <w:t>REQUIRED SKILLS AND KNOWLEDGE</w:t>
            </w:r>
          </w:p>
        </w:tc>
      </w:tr>
      <w:tr w:rsidTr="00960E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p>
        </w:tc>
      </w:tr>
      <w:tr w:rsidTr="00960E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r w:rsidRPr="00D93E83">
              <w:t>This describes the essential skills and knowledge and their level required for this unit.</w:t>
            </w:r>
          </w:p>
        </w:tc>
      </w:tr>
      <w:tr w:rsidTr="00960E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p>
        </w:tc>
      </w:tr>
      <w:tr w:rsidTr="00960E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3E83" w:rsidP="00D93E83">
            <w:pPr>
              <w:pStyle w:val="BodyText"/>
            </w:pPr>
            <w:r w:rsidRPr="00D93E83">
              <w:rPr>
                <w:rStyle w:val="Emphasis"/>
              </w:rPr>
              <w:t>Essential knowledge</w:t>
            </w:r>
            <w:r w:rsidRPr="00D93E83">
              <w:t>:</w:t>
            </w:r>
          </w:p>
          <w:p w:rsidR="00000000" w:rsidRPr="00D93E83" w:rsidP="00D93E83">
            <w:pPr>
              <w:pStyle w:val="BodyText"/>
            </w:pPr>
            <w:r w:rsidRPr="00D93E83">
              <w:t>The candidate must be able to demonstrate essential knowledge required to effectively do the task outlined in elements and performance criteri</w:t>
            </w:r>
            <w:r w:rsidRPr="00D93E83">
              <w:t>a of this unit, manage the task and manage contingencies in the context of the identified work role</w:t>
            </w:r>
          </w:p>
          <w:p w:rsidR="00000000" w:rsidRPr="00D93E83" w:rsidP="00D93E83">
            <w:pPr>
              <w:pStyle w:val="BodyText"/>
            </w:pPr>
            <w:r w:rsidRPr="00D93E83">
              <w:t>These include knowledge of:</w:t>
            </w:r>
          </w:p>
          <w:p w:rsidR="00000000" w:rsidRPr="00D93E83" w:rsidP="00D93E83">
            <w:pPr>
              <w:pStyle w:val="ListBullet"/>
            </w:pPr>
            <w:r w:rsidRPr="00D93E83">
              <w:t>Organisation policies and procedures relating to the provision of information</w:t>
            </w:r>
          </w:p>
          <w:p w:rsidR="00000000" w:rsidRPr="00D93E83" w:rsidP="00D93E83">
            <w:pPr>
              <w:pStyle w:val="ListBullet"/>
            </w:pPr>
            <w:r w:rsidRPr="00D93E83">
              <w:t>Income sources, entitlements and associated issues relating to:</w:t>
            </w:r>
          </w:p>
          <w:p w:rsidR="00000000" w:rsidRPr="00D93E83" w:rsidP="00D93E83">
            <w:pPr>
              <w:pStyle w:val="ListBullet2"/>
            </w:pPr>
            <w:r w:rsidRPr="00D93E83">
              <w:t>Centrelink</w:t>
            </w:r>
          </w:p>
          <w:p w:rsidR="00000000" w:rsidRPr="00D93E83" w:rsidP="00D93E83">
            <w:pPr>
              <w:pStyle w:val="ListBullet2"/>
            </w:pPr>
            <w:r w:rsidRPr="00D93E83">
              <w:t>taxation</w:t>
            </w:r>
          </w:p>
          <w:p w:rsidR="00000000" w:rsidRPr="00D93E83" w:rsidP="00D93E83">
            <w:pPr>
              <w:pStyle w:val="ListBullet2"/>
            </w:pPr>
            <w:r w:rsidRPr="00D93E83">
              <w:t>child support</w:t>
            </w:r>
          </w:p>
          <w:p w:rsidR="00000000" w:rsidRPr="00D93E83" w:rsidP="00D93E83">
            <w:pPr>
              <w:pStyle w:val="ListBullet2"/>
            </w:pPr>
            <w:r w:rsidRPr="00D93E83">
              <w:t>small business</w:t>
            </w:r>
          </w:p>
          <w:p w:rsidR="00000000" w:rsidRPr="00D93E83" w:rsidP="00D93E83">
            <w:pPr>
              <w:pStyle w:val="ListBullet2"/>
            </w:pPr>
            <w:r w:rsidRPr="00D93E83">
              <w:t>work choices</w:t>
            </w:r>
          </w:p>
          <w:p w:rsidR="00000000" w:rsidRPr="00D93E83" w:rsidP="00D93E83">
            <w:pPr>
              <w:pStyle w:val="ListBullet2"/>
            </w:pPr>
            <w:r w:rsidRPr="00D93E83">
              <w:t>wages</w:t>
            </w:r>
          </w:p>
          <w:p w:rsidR="00000000" w:rsidRPr="00D93E83" w:rsidP="00D93E83">
            <w:pPr>
              <w:pStyle w:val="ListBullet2"/>
            </w:pPr>
            <w:r w:rsidRPr="00D93E83">
              <w:t>welfare rights</w:t>
            </w:r>
          </w:p>
          <w:p w:rsidR="00000000" w:rsidRPr="00D93E83" w:rsidP="00D93E83">
            <w:pPr>
              <w:pStyle w:val="ListBullet2"/>
            </w:pPr>
            <w:r w:rsidRPr="00D93E83">
              <w:t>compensation such as Workcover, criminal injuries and motor vehicle accidents</w:t>
            </w:r>
          </w:p>
          <w:p w:rsidR="00000000" w:rsidRPr="00D93E83" w:rsidP="00D93E83">
            <w:pPr>
              <w:pStyle w:val="ListBullet2"/>
            </w:pPr>
            <w:r w:rsidRPr="00D93E83">
              <w:t xml:space="preserve">insurance </w:t>
            </w:r>
          </w:p>
          <w:p w:rsidR="00000000" w:rsidRPr="00D93E83" w:rsidP="00D93E83">
            <w:pPr>
              <w:pStyle w:val="ListBullet"/>
            </w:pPr>
            <w:r w:rsidRPr="00D93E83">
              <w:t>Expenditure support</w:t>
            </w:r>
            <w:r w:rsidRPr="00D93E83">
              <w:t xml:space="preserve"> relating to:</w:t>
            </w:r>
          </w:p>
          <w:p w:rsidR="00000000" w:rsidRPr="00D93E83" w:rsidP="00D93E83">
            <w:pPr>
              <w:pStyle w:val="ListBullet2"/>
            </w:pPr>
            <w:r w:rsidRPr="00D93E83">
              <w:t>utilities</w:t>
            </w:r>
          </w:p>
          <w:p w:rsidR="00000000" w:rsidRPr="00D93E83" w:rsidP="00D93E83">
            <w:pPr>
              <w:pStyle w:val="ListBullet2"/>
            </w:pPr>
            <w:r w:rsidRPr="00D93E83">
              <w:t>housing</w:t>
            </w:r>
          </w:p>
          <w:p w:rsidR="00000000" w:rsidRPr="00D93E83" w:rsidP="00D93E83">
            <w:pPr>
              <w:pStyle w:val="ListBullet2"/>
            </w:pPr>
            <w:r w:rsidRPr="00D93E83">
              <w:t>emergency relief and other assistance</w:t>
            </w:r>
          </w:p>
          <w:p w:rsidR="00000000" w:rsidRPr="00D93E83" w:rsidP="00D93E83">
            <w:pPr>
              <w:pStyle w:val="ListBullet"/>
            </w:pPr>
            <w:r w:rsidRPr="00D93E83">
              <w:t>Consumer issues covered by legislation, regulations and instruments, relating to:</w:t>
            </w:r>
          </w:p>
          <w:p w:rsidR="00000000" w:rsidRPr="00D93E83" w:rsidP="00D93E83">
            <w:pPr>
              <w:pStyle w:val="ListBullet2"/>
            </w:pPr>
            <w:r w:rsidRPr="00D93E83">
              <w:t>Uniform Consumer Credit Code (UCCC)</w:t>
            </w:r>
          </w:p>
          <w:p w:rsidR="00000000" w:rsidRPr="00D93E83" w:rsidP="00D93E83">
            <w:pPr>
              <w:pStyle w:val="ListBullet2"/>
            </w:pPr>
            <w:r w:rsidRPr="00D93E83">
              <w:t>contract law</w:t>
            </w:r>
          </w:p>
          <w:p w:rsidR="00000000" w:rsidRPr="00D93E83" w:rsidP="00D93E83">
            <w:pPr>
              <w:pStyle w:val="ListBullet2"/>
            </w:pPr>
            <w:r w:rsidRPr="00D93E83">
              <w:t>consumer law</w:t>
            </w:r>
          </w:p>
          <w:p w:rsidR="00000000" w:rsidRPr="00D93E83" w:rsidP="00D93E83">
            <w:pPr>
              <w:pStyle w:val="ListBullet2"/>
            </w:pPr>
            <w:r w:rsidRPr="00D93E83">
              <w:t>fair trading acts</w:t>
            </w:r>
          </w:p>
          <w:p w:rsidR="00000000" w:rsidRPr="00D93E83" w:rsidP="00D93E83">
            <w:pPr>
              <w:pStyle w:val="ListBullet2"/>
            </w:pPr>
            <w:r w:rsidRPr="00D93E83">
              <w:t>internal dispute resolution (IDR) and alternative dispute resolution (ADR)</w:t>
            </w:r>
          </w:p>
          <w:p w:rsidR="00000000" w:rsidRPr="00D93E83" w:rsidP="00D93E83">
            <w:pPr>
              <w:pStyle w:val="ListBullet2"/>
            </w:pPr>
            <w:r w:rsidRPr="00D93E83">
              <w:t xml:space="preserve">insurance </w:t>
            </w:r>
          </w:p>
          <w:p w:rsidR="00000000" w:rsidRPr="00D93E83" w:rsidP="00D93E83">
            <w:pPr>
              <w:pStyle w:val="ListBullet2"/>
            </w:pPr>
            <w:r w:rsidRPr="00D93E83">
              <w:t>consumer credit insurance</w:t>
            </w:r>
          </w:p>
          <w:p w:rsidR="00000000" w:rsidRPr="00D93E83" w:rsidP="00D93E83">
            <w:pPr>
              <w:pStyle w:val="ListBullet2"/>
            </w:pPr>
            <w:r w:rsidRPr="00D93E83">
              <w:t>fringe lending</w:t>
            </w:r>
          </w:p>
          <w:p w:rsidR="00000000" w:rsidRPr="00D93E83" w:rsidP="00D93E83">
            <w:pPr>
              <w:pStyle w:val="ListBullet2"/>
            </w:pPr>
            <w:r w:rsidRPr="00D93E83">
              <w:t xml:space="preserve">bankruptcy </w:t>
            </w:r>
          </w:p>
          <w:p w:rsidR="00000000" w:rsidRPr="00D93E83" w:rsidP="00D93E83">
            <w:pPr>
              <w:pStyle w:val="ListBullet"/>
            </w:pPr>
            <w:r w:rsidRPr="00D93E83">
              <w:t>Types of debt:</w:t>
            </w:r>
          </w:p>
          <w:p w:rsidR="00000000" w:rsidRPr="00D93E83" w:rsidP="00D93E83">
            <w:pPr>
              <w:pStyle w:val="ListBullet2"/>
            </w:pPr>
            <w:r w:rsidRPr="00D93E83">
              <w:t xml:space="preserve">secured and unsecured </w:t>
            </w:r>
          </w:p>
          <w:p w:rsidR="00000000" w:rsidRPr="00D93E83" w:rsidP="00D93E83">
            <w:pPr>
              <w:pStyle w:val="ListBullet2"/>
            </w:pPr>
            <w:r w:rsidRPr="00D93E83">
              <w:t>joint debts</w:t>
            </w:r>
          </w:p>
          <w:p w:rsidR="00000000" w:rsidRPr="00D93E83" w:rsidP="00D93E83">
            <w:pPr>
              <w:pStyle w:val="ListBullet2"/>
            </w:pPr>
            <w:r w:rsidRPr="00D93E83">
              <w:t>lodoc and nodoc debts</w:t>
            </w:r>
          </w:p>
          <w:p w:rsidR="00000000" w:rsidRPr="00D93E83" w:rsidP="00D93E83">
            <w:pPr>
              <w:pStyle w:val="ListBullet2"/>
            </w:pPr>
            <w:r w:rsidRPr="00D93E83">
              <w:t>guarantors and co-borrowers</w:t>
            </w:r>
          </w:p>
          <w:p w:rsidR="00000000" w:rsidRPr="00D93E83" w:rsidP="00D93E83">
            <w:pPr>
              <w:pStyle w:val="ListBullet2"/>
            </w:pPr>
            <w:r w:rsidRPr="00D93E83">
              <w:t>consumer credit</w:t>
            </w:r>
          </w:p>
          <w:p w:rsidR="00000000" w:rsidRPr="00D93E83" w:rsidP="00D93E83">
            <w:pPr>
              <w:pStyle w:val="ListBullet2"/>
            </w:pPr>
            <w:r w:rsidRPr="00D93E83">
              <w:t xml:space="preserve">leases </w:t>
            </w:r>
          </w:p>
          <w:p w:rsidR="00000000" w:rsidRPr="00D93E83" w:rsidP="00D93E83">
            <w:pPr>
              <w:pStyle w:val="ListBullet2"/>
            </w:pPr>
            <w:r w:rsidRPr="00D93E83">
              <w:t>fines</w:t>
            </w:r>
          </w:p>
          <w:p w:rsidR="00000000" w:rsidRPr="00D93E83" w:rsidP="00D93E83">
            <w:pPr>
              <w:pStyle w:val="ListBullet2"/>
            </w:pPr>
            <w:r w:rsidRPr="00D93E83">
              <w:t>government related debts</w:t>
            </w:r>
          </w:p>
          <w:p w:rsidR="00000000" w:rsidP="00D93E83">
            <w:pPr>
              <w:pStyle w:val="BodyText"/>
              <w:rPr>
                <w:lang w:val="en-NZ"/>
              </w:rPr>
            </w:pPr>
            <w:r w:rsidRPr="00D93E83">
              <w:rPr>
                <w:rStyle w:val="Emphasis"/>
              </w:rPr>
              <w:t>continued</w:t>
            </w:r>
            <w:r w:rsidRPr="00D93E83">
              <w:t xml:space="preserve"> ...</w:t>
            </w:r>
          </w:p>
        </w:tc>
      </w:tr>
      <w:tr w:rsidTr="00960E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p>
        </w:tc>
      </w:tr>
      <w:tr w:rsidTr="00960E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3E83" w:rsidP="00D93E83">
            <w:pPr>
              <w:pStyle w:val="BodyText"/>
            </w:pPr>
            <w:r w:rsidRPr="00D93E83">
              <w:rPr>
                <w:rStyle w:val="Emphasis"/>
              </w:rPr>
              <w:t>Essential knowledge</w:t>
            </w:r>
            <w:r w:rsidRPr="00D93E83">
              <w:t xml:space="preserve"> (</w:t>
            </w:r>
            <w:r w:rsidRPr="00D93E83">
              <w:rPr>
                <w:rStyle w:val="Emphasis"/>
              </w:rPr>
              <w:t>contd</w:t>
            </w:r>
            <w:r w:rsidRPr="00D93E83">
              <w:t>):</w:t>
            </w:r>
          </w:p>
          <w:p w:rsidR="00000000" w:rsidRPr="00D93E83" w:rsidP="00D93E83">
            <w:pPr>
              <w:pStyle w:val="ListBullet"/>
            </w:pPr>
            <w:r w:rsidRPr="00D93E83">
              <w:t>Debtor options:</w:t>
            </w:r>
          </w:p>
          <w:p w:rsidR="00000000" w:rsidRPr="00D93E83" w:rsidP="00D93E83">
            <w:pPr>
              <w:pStyle w:val="ListBullet2"/>
            </w:pPr>
            <w:r w:rsidRPr="00D93E83">
              <w:t>formal and informal arrangements</w:t>
            </w:r>
          </w:p>
          <w:p w:rsidR="00000000" w:rsidRPr="00D93E83" w:rsidP="00D93E83">
            <w:pPr>
              <w:pStyle w:val="ListBullet2"/>
            </w:pPr>
            <w:r w:rsidRPr="00D93E83">
              <w:t>debt recovery</w:t>
            </w:r>
          </w:p>
          <w:p w:rsidR="00000000" w:rsidRPr="00D93E83" w:rsidP="00D93E83">
            <w:pPr>
              <w:pStyle w:val="ListBullet2"/>
            </w:pPr>
            <w:r w:rsidRPr="00D93E83">
              <w:t>bankruptcy</w:t>
            </w:r>
          </w:p>
          <w:p w:rsidR="00000000" w:rsidRPr="00D93E83" w:rsidP="00D93E83">
            <w:pPr>
              <w:pStyle w:val="ListBullet2"/>
            </w:pPr>
            <w:r w:rsidRPr="00D93E83">
              <w:t>early release of superannuation</w:t>
            </w:r>
          </w:p>
          <w:p w:rsidR="00000000" w:rsidRPr="00D93E83" w:rsidP="00D93E83">
            <w:pPr>
              <w:pStyle w:val="ListBullet2"/>
            </w:pPr>
            <w:r w:rsidRPr="00D93E83">
              <w:t>courts, tribunals and legal processes</w:t>
            </w:r>
          </w:p>
          <w:p w:rsidR="00000000" w:rsidRPr="00D93E83" w:rsidP="00D93E83">
            <w:pPr>
              <w:pStyle w:val="ListBullet"/>
            </w:pPr>
            <w:r w:rsidRPr="00D93E83">
              <w:t>Local networks for referral and support, including:</w:t>
            </w:r>
          </w:p>
          <w:p w:rsidR="00000000" w:rsidRPr="00D93E83" w:rsidP="00D93E83">
            <w:pPr>
              <w:pStyle w:val="ListBullet2"/>
            </w:pPr>
            <w:r w:rsidRPr="00D93E83">
              <w:t>legal aid</w:t>
            </w:r>
          </w:p>
          <w:p w:rsidR="00000000" w:rsidRPr="00D93E83" w:rsidP="00D93E83">
            <w:pPr>
              <w:pStyle w:val="ListBullet2"/>
            </w:pPr>
            <w:r w:rsidRPr="00D93E83">
              <w:t>family law</w:t>
            </w:r>
          </w:p>
          <w:p w:rsidR="00000000" w:rsidRPr="00D93E83" w:rsidP="00D93E83">
            <w:pPr>
              <w:pStyle w:val="ListBullet2"/>
            </w:pPr>
            <w:r w:rsidRPr="00D93E83">
              <w:t>welfare rights centres</w:t>
            </w:r>
          </w:p>
          <w:p w:rsidR="00000000" w:rsidRPr="00D93E83" w:rsidP="00D93E83">
            <w:pPr>
              <w:pStyle w:val="ListBullet2"/>
            </w:pPr>
            <w:r w:rsidRPr="00D93E83">
              <w:t>community legal centres</w:t>
            </w:r>
          </w:p>
          <w:p w:rsidR="00000000" w:rsidP="00D93E83">
            <w:pPr>
              <w:pStyle w:val="ListBullet2"/>
              <w:rPr>
                <w:lang w:val="en-NZ"/>
              </w:rPr>
            </w:pPr>
            <w:r w:rsidRPr="00D93E83">
              <w:t>other specialist services</w:t>
            </w:r>
          </w:p>
        </w:tc>
      </w:tr>
      <w:tr w:rsidTr="00960E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p>
        </w:tc>
      </w:tr>
      <w:tr w:rsidTr="00960E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3E83" w:rsidP="00D93E83">
            <w:pPr>
              <w:pStyle w:val="BodyText"/>
            </w:pPr>
            <w:r w:rsidRPr="00D93E83">
              <w:rPr>
                <w:rStyle w:val="Emphasis"/>
              </w:rPr>
              <w:t>Essential skills</w:t>
            </w:r>
            <w:r w:rsidRPr="00D93E83">
              <w:t>:</w:t>
            </w:r>
          </w:p>
          <w:p w:rsidR="00000000" w:rsidRPr="00D93E83" w:rsidP="00D93E83">
            <w:pPr>
              <w:pStyle w:val="BodyText"/>
            </w:pPr>
            <w:r w:rsidRPr="00D93E83">
              <w:t>It is critical that the candidate demonstrate the ability to:</w:t>
            </w:r>
          </w:p>
          <w:p w:rsidR="00000000" w:rsidRPr="00D93E83" w:rsidP="00D93E83">
            <w:pPr>
              <w:pStyle w:val="ListBullet"/>
            </w:pPr>
            <w:r w:rsidRPr="00D93E83">
              <w:t>Work effectively with clients to provide and clarify information relating to:</w:t>
            </w:r>
          </w:p>
          <w:p w:rsidR="00000000" w:rsidRPr="00D93E83" w:rsidP="00D93E83">
            <w:pPr>
              <w:pStyle w:val="ListBullet2"/>
            </w:pPr>
            <w:r w:rsidRPr="00D93E83">
              <w:t>correct income sources and entitlements</w:t>
            </w:r>
          </w:p>
          <w:p w:rsidR="00000000" w:rsidRPr="00D93E83" w:rsidP="00D93E83">
            <w:pPr>
              <w:pStyle w:val="ListBullet2"/>
            </w:pPr>
            <w:r w:rsidRPr="00D93E83">
              <w:t>living expenses and associated support</w:t>
            </w:r>
          </w:p>
          <w:p w:rsidR="00000000" w:rsidRPr="00D93E83" w:rsidP="00D93E83">
            <w:pPr>
              <w:pStyle w:val="ListBullet2"/>
            </w:pPr>
            <w:r w:rsidRPr="00D93E83">
              <w:t>legal and consumer protection rights</w:t>
            </w:r>
          </w:p>
          <w:p w:rsidR="00000000" w:rsidRPr="00D93E83" w:rsidP="00D93E83">
            <w:pPr>
              <w:pStyle w:val="ListBullet2"/>
            </w:pPr>
            <w:r w:rsidRPr="00D93E83">
              <w:t xml:space="preserve">debt and debt recovery processes and options </w:t>
            </w:r>
          </w:p>
          <w:p w:rsidR="00000000" w:rsidRPr="00D93E83" w:rsidP="00D93E83">
            <w:pPr>
              <w:pStyle w:val="ListBullet"/>
            </w:pPr>
            <w:r w:rsidRPr="00D93E83">
              <w:t>Provide information about available referral and support services</w:t>
            </w:r>
          </w:p>
          <w:p w:rsidR="00000000" w:rsidRPr="00D93E83" w:rsidP="00D93E83">
            <w:pPr>
              <w:pStyle w:val="ListBullet"/>
            </w:pPr>
            <w:r w:rsidRPr="00D93E83">
              <w:t>Access and interpret legislative and regulatory requirements relevant to specific client situations within the scope of own work role</w:t>
            </w:r>
          </w:p>
          <w:p w:rsidR="00000000" w:rsidRPr="00D93E83" w:rsidP="00D93E83">
            <w:pPr>
              <w:pStyle w:val="ListBullet"/>
            </w:pPr>
            <w:r w:rsidRPr="00D93E83">
              <w:t>Impart accurate information in a clear and timely manner</w:t>
            </w:r>
          </w:p>
          <w:p w:rsidR="00000000" w:rsidRPr="00D93E83" w:rsidP="00D93E83">
            <w:pPr>
              <w:pStyle w:val="ListBullet"/>
            </w:pPr>
            <w:r w:rsidRPr="00D93E83">
              <w:t>Comply with legislation and rules relating to financial counselling</w:t>
            </w:r>
          </w:p>
          <w:p w:rsidR="00000000" w:rsidP="00D93E83">
            <w:pPr>
              <w:pStyle w:val="ListBullet"/>
              <w:rPr>
                <w:lang w:val="en-NZ"/>
              </w:rPr>
            </w:pPr>
            <w:r w:rsidRPr="00D93E83">
              <w:t>Work within organisation policies and procedures relating to the provision of information</w:t>
            </w:r>
          </w:p>
        </w:tc>
      </w:tr>
      <w:tr w:rsidTr="00960E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3E83" w:rsidP="00D93E83">
            <w:pPr>
              <w:pStyle w:val="BodyText"/>
            </w:pPr>
          </w:p>
        </w:tc>
      </w:tr>
    </w:tbl>
    <w:p w:rsidR="00960E9B" w:rsidP="00D93E83">
      <w:pPr>
        <w:pStyle w:val="BodyText"/>
      </w:pPr>
    </w:p>
    <w:p w:rsidR="00960E9B" w:rsidP="00D93E83">
      <w:pPr>
        <w:pStyle w:val="BodyText"/>
      </w:pPr>
    </w:p>
    <w:p w:rsidR="00000000" w:rsidRPr="00D93E83" w:rsidP="00D93E83">
      <w:pPr>
        <w:pStyle w:val="Heading1"/>
      </w:pPr>
      <w:bookmarkStart w:id="10" w:name="O_241864"/>
      <w:bookmarkEnd w:id="10"/>
      <w:r w:rsidRPr="00D93E83">
        <w:t>Evidence Guide</w:t>
      </w:r>
    </w:p>
    <w:tbl>
      <w:tblPr>
        <w:tblW w:w="0" w:type="auto"/>
        <w:tblLayout w:type="fixed"/>
        <w:tblCellMar>
          <w:left w:w="62" w:type="dxa"/>
          <w:right w:w="62" w:type="dxa"/>
        </w:tblCellMar>
        <w:tblLook w:val="0000"/>
      </w:tblPr>
      <w:tblGrid>
        <w:gridCol w:w="3402"/>
        <w:gridCol w:w="5670"/>
      </w:tblGrid>
      <w:tr w:rsidTr="00960E9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93E83">
            <w:pPr>
              <w:pStyle w:val="BodyText"/>
              <w:rPr>
                <w:lang w:val="en-NZ"/>
              </w:rPr>
            </w:pPr>
            <w:r w:rsidRPr="00D93E83">
              <w:rPr>
                <w:rStyle w:val="SpecialBold"/>
              </w:rPr>
              <w:t>EVIDENCE GUIDE</w:t>
            </w:r>
          </w:p>
        </w:tc>
      </w:tr>
      <w:tr w:rsidTr="00960E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3E83">
            <w:pPr>
              <w:pStyle w:val="BodyText"/>
              <w:rPr>
                <w:lang w:val="en-NZ"/>
              </w:rPr>
            </w:pPr>
          </w:p>
        </w:tc>
      </w:tr>
      <w:tr w:rsidTr="00960E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3E83">
            <w:pPr>
              <w:pStyle w:val="BodyText"/>
              <w:rPr>
                <w:lang w:val="en-NZ"/>
              </w:rPr>
            </w:pPr>
            <w:r w:rsidRPr="00D93E83">
              <w:t>The evidence guide provides advice on assessment and must be read in conjunction with the Performance Criteria, Required Skills and Knowledge, the Range Statement and the Assessment Guidelines for this Training Package.</w:t>
            </w:r>
          </w:p>
        </w:tc>
      </w:tr>
      <w:tr w:rsidTr="00960E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3E83">
            <w:pPr>
              <w:pStyle w:val="BodyText"/>
              <w:rPr>
                <w:lang w:val="en-NZ"/>
              </w:rPr>
            </w:pPr>
          </w:p>
        </w:tc>
      </w:tr>
      <w:tr w:rsidTr="00960E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r w:rsidRPr="00D93E83">
              <w:rPr>
                <w:rStyle w:val="Emphasis"/>
              </w:rPr>
              <w:t>Critical aspects for assessment</w:t>
            </w:r>
            <w:r w:rsidRPr="00D93E83">
              <w:rPr>
                <w:rStyle w:val="Emphasis"/>
              </w:rPr>
              <w:t xml:space="preserve"> and evidence required to demonstrate this unit of competency</w:t>
            </w:r>
            <w:r w:rsidRPr="00D93E83">
              <w:t xml:space="preserve">: </w:t>
            </w:r>
          </w:p>
        </w:tc>
        <w:tc>
          <w:tcPr>
            <w:tcW w:w="5670" w:type="dxa"/>
            <w:tcBorders>
              <w:top w:val="nil"/>
              <w:left w:val="nil"/>
              <w:bottom w:val="nil"/>
              <w:right w:val="nil"/>
            </w:tcBorders>
            <w:tcMar>
              <w:top w:w="0" w:type="dxa"/>
              <w:left w:w="62" w:type="dxa"/>
              <w:bottom w:w="0" w:type="dxa"/>
              <w:right w:w="62" w:type="dxa"/>
            </w:tcMar>
          </w:tcPr>
          <w:p w:rsidR="00000000" w:rsidRPr="00D93E83" w:rsidP="00D93E83">
            <w:pPr>
              <w:pStyle w:val="ListBullet"/>
            </w:pPr>
            <w:r w:rsidRPr="00D93E83">
              <w:t>The individual being assessed must provide evidence of specified essential knowledge as well as skills</w:t>
            </w:r>
          </w:p>
          <w:p w:rsidR="00000000" w:rsidRPr="00D93E83" w:rsidP="00D93E83">
            <w:pPr>
              <w:pStyle w:val="ListBullet"/>
            </w:pPr>
            <w:r w:rsidRPr="00D93E83">
              <w:t xml:space="preserve">This unit is best assessed in the workplace or in a simulated workplace under the normal </w:t>
            </w:r>
            <w:r w:rsidRPr="00D93E83">
              <w:t>of range conditions</w:t>
            </w:r>
          </w:p>
          <w:p w:rsidR="00000000" w:rsidP="00D93E83">
            <w:pPr>
              <w:pStyle w:val="ListBullet"/>
              <w:rPr>
                <w:lang w:val="en-NZ"/>
              </w:rPr>
            </w:pPr>
            <w:r w:rsidRPr="00D93E83">
              <w:t>Assessment should be gathered on one or more occasions but must reflect the normal range of client situations encountered in the workplace</w:t>
            </w:r>
          </w:p>
        </w:tc>
      </w:tr>
      <w:tr w:rsidTr="00960E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p>
        </w:tc>
      </w:tr>
      <w:tr w:rsidTr="00960E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r w:rsidRPr="00D93E83">
              <w:rPr>
                <w:rStyle w:val="Emphasis"/>
              </w:rPr>
              <w:t>Access and equity considerations</w:t>
            </w:r>
            <w:r w:rsidRPr="00D93E83">
              <w:t>:</w:t>
            </w:r>
          </w:p>
        </w:tc>
        <w:tc>
          <w:tcPr>
            <w:tcW w:w="5670" w:type="dxa"/>
            <w:tcBorders>
              <w:top w:val="nil"/>
              <w:left w:val="nil"/>
              <w:bottom w:val="nil"/>
              <w:right w:val="nil"/>
            </w:tcBorders>
            <w:tcMar>
              <w:top w:w="0" w:type="dxa"/>
              <w:left w:w="62" w:type="dxa"/>
              <w:bottom w:w="0" w:type="dxa"/>
              <w:right w:w="62" w:type="dxa"/>
            </w:tcMar>
          </w:tcPr>
          <w:p w:rsidR="00000000" w:rsidRPr="00D93E83" w:rsidP="00D93E83">
            <w:pPr>
              <w:pStyle w:val="ListBullet"/>
            </w:pPr>
            <w:r w:rsidRPr="00D93E83">
              <w:t>All workers in community services should be aware of access, equity and human rights issues in relation to their own area of work</w:t>
            </w:r>
          </w:p>
          <w:p w:rsidR="00000000" w:rsidRPr="00D93E83" w:rsidP="00D93E83">
            <w:pPr>
              <w:pStyle w:val="ListBullet"/>
            </w:pPr>
            <w:r w:rsidRPr="00D93E83">
              <w:t xml:space="preserve">All workers should develop their ability to work in a culturally diverse environment </w:t>
            </w:r>
          </w:p>
          <w:p w:rsidR="00000000" w:rsidRPr="00D93E83" w:rsidP="00D93E83">
            <w:pPr>
              <w:pStyle w:val="ListBullet"/>
            </w:pPr>
            <w:r w:rsidRPr="00D93E83">
              <w:t>In recognition of particular issues faci</w:t>
            </w:r>
            <w:r w:rsidRPr="00D93E83">
              <w:t>ng Aboriginal and Torres Strait Islander communities, workers should be aware of cultural, historical and current issues impacting on Aboriginal and Torres Strait Islander people</w:t>
            </w:r>
          </w:p>
          <w:p w:rsidR="00000000" w:rsidP="00D93E83">
            <w:pPr>
              <w:pStyle w:val="ListBullet"/>
              <w:rPr>
                <w:lang w:val="en-NZ"/>
              </w:rPr>
            </w:pPr>
            <w:r w:rsidRPr="00D93E83">
              <w:t>Assessors and trainers must take into account relevant access and equity issu</w:t>
            </w:r>
            <w:r w:rsidRPr="00D93E83">
              <w:t>es, in particular relating to factors impacting on Aboriginal and/or Torres Strait Islander clients and communities</w:t>
            </w:r>
          </w:p>
        </w:tc>
      </w:tr>
      <w:tr w:rsidTr="00960E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p>
        </w:tc>
      </w:tr>
      <w:tr w:rsidTr="00960E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r w:rsidRPr="00D93E83">
              <w:rPr>
                <w:rStyle w:val="Emphasis"/>
              </w:rPr>
              <w:t>Context of and specific resources for assessment</w:t>
            </w:r>
            <w:r w:rsidRPr="00D93E83">
              <w:t xml:space="preserve">: </w:t>
            </w:r>
          </w:p>
        </w:tc>
        <w:tc>
          <w:tcPr>
            <w:tcW w:w="5670" w:type="dxa"/>
            <w:tcBorders>
              <w:top w:val="nil"/>
              <w:left w:val="nil"/>
              <w:bottom w:val="nil"/>
              <w:right w:val="nil"/>
            </w:tcBorders>
            <w:tcMar>
              <w:top w:w="0" w:type="dxa"/>
              <w:left w:w="62" w:type="dxa"/>
              <w:bottom w:w="0" w:type="dxa"/>
              <w:right w:w="62" w:type="dxa"/>
            </w:tcMar>
          </w:tcPr>
          <w:p w:rsidR="00000000" w:rsidRPr="00D93E83" w:rsidP="00D93E83">
            <w:pPr>
              <w:pStyle w:val="ListBullet"/>
            </w:pPr>
            <w:r w:rsidRPr="00D93E83">
              <w:t>This unit can be assessed independently, however holistic assessment practice with ot</w:t>
            </w:r>
            <w:r w:rsidRPr="00D93E83">
              <w:t>her community services units of competency is encouraged</w:t>
            </w:r>
          </w:p>
          <w:p w:rsidR="00000000" w:rsidRPr="00D93E83" w:rsidP="00D93E83">
            <w:pPr>
              <w:pStyle w:val="ListBullet"/>
            </w:pPr>
            <w:r w:rsidRPr="00D93E83">
              <w:t>Resources required for assessment of this unit include access to:</w:t>
            </w:r>
          </w:p>
          <w:p w:rsidR="00000000" w:rsidP="00D93E83">
            <w:pPr>
              <w:pStyle w:val="ListBullet2"/>
              <w:rPr>
                <w:lang w:val="en-NZ"/>
              </w:rPr>
            </w:pPr>
            <w:r w:rsidRPr="00D93E83">
              <w:t>an appropriate workplace where assessment can take place or simulation of realistic workplace setting for assessment</w:t>
            </w:r>
          </w:p>
        </w:tc>
      </w:tr>
      <w:tr w:rsidTr="00960E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p>
        </w:tc>
      </w:tr>
      <w:tr w:rsidTr="00960E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r w:rsidRPr="00D93E83">
              <w:rPr>
                <w:rStyle w:val="Emphasis"/>
              </w:rPr>
              <w:t>Method of assessment</w:t>
            </w:r>
            <w:r w:rsidRPr="00D93E83">
              <w:t>:</w:t>
            </w:r>
          </w:p>
        </w:tc>
        <w:tc>
          <w:tcPr>
            <w:tcW w:w="5670" w:type="dxa"/>
            <w:tcBorders>
              <w:top w:val="nil"/>
              <w:left w:val="nil"/>
              <w:bottom w:val="nil"/>
              <w:right w:val="nil"/>
            </w:tcBorders>
            <w:tcMar>
              <w:top w:w="0" w:type="dxa"/>
              <w:left w:w="62" w:type="dxa"/>
              <w:bottom w:w="0" w:type="dxa"/>
              <w:right w:w="62" w:type="dxa"/>
            </w:tcMar>
          </w:tcPr>
          <w:p w:rsidR="00000000" w:rsidRPr="00D93E83" w:rsidP="00D93E83">
            <w:pPr>
              <w:pStyle w:val="ListBullet"/>
            </w:pPr>
            <w:r w:rsidRPr="00D93E83">
              <w:t>In cases where the learner does not have the opportunity to cover all relevant aspects in the work environment, the remainder should be assessed through realistic simulations, projects, previous relevant experience or oral questioning</w:t>
            </w:r>
            <w:r w:rsidRPr="00D93E83">
              <w:t xml:space="preserve"> on 'What if?' scenarios</w:t>
            </w:r>
          </w:p>
          <w:p w:rsidR="00000000" w:rsidRPr="00D93E83" w:rsidP="00D93E83">
            <w:pPr>
              <w:pStyle w:val="ListBullet"/>
            </w:pPr>
            <w:r w:rsidRPr="00D93E83">
              <w:t>Assessment of this unit of competence will usually include observation of processes and procedures, oral and/or written questioning on Essential knowledge and skills and consideration of required attitudes</w:t>
            </w:r>
          </w:p>
          <w:p w:rsidR="00000000" w:rsidP="00D93E83">
            <w:pPr>
              <w:pStyle w:val="ListBullet"/>
              <w:rPr>
                <w:lang w:val="en-NZ"/>
              </w:rPr>
            </w:pPr>
            <w:r w:rsidRPr="00D93E83">
              <w:t xml:space="preserve">Where performance is not </w:t>
            </w:r>
            <w:r w:rsidRPr="00D93E83">
              <w:t>directly observed and/or is required to be demonstrated over a 'period of time' and/or in a 'number of locations', any evidence should be authenticated by colleagues, supervisors, clients or other appropriate persons</w:t>
            </w:r>
          </w:p>
        </w:tc>
      </w:tr>
      <w:tr w:rsidTr="00960E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p>
        </w:tc>
      </w:tr>
      <w:tr w:rsidTr="00960E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r w:rsidRPr="00D93E83">
              <w:rPr>
                <w:rStyle w:val="Emphasis"/>
              </w:rPr>
              <w:t>Related units</w:t>
            </w:r>
            <w:r w:rsidRPr="00D93E83">
              <w:t>:</w:t>
            </w:r>
          </w:p>
        </w:tc>
        <w:tc>
          <w:tcPr>
            <w:tcW w:w="5670" w:type="dxa"/>
            <w:tcBorders>
              <w:top w:val="nil"/>
              <w:left w:val="nil"/>
              <w:bottom w:val="nil"/>
              <w:right w:val="nil"/>
            </w:tcBorders>
            <w:tcMar>
              <w:top w:w="0" w:type="dxa"/>
              <w:left w:w="62" w:type="dxa"/>
              <w:bottom w:w="0" w:type="dxa"/>
              <w:right w:w="62" w:type="dxa"/>
            </w:tcMar>
          </w:tcPr>
          <w:p w:rsidR="00000000" w:rsidRPr="00D93E83" w:rsidP="00D93E83">
            <w:pPr>
              <w:pStyle w:val="BodyText"/>
            </w:pPr>
            <w:r w:rsidRPr="00D93E83">
              <w:t>Thi</w:t>
            </w:r>
            <w:r w:rsidRPr="00D93E83">
              <w:t>s unit is part of a suite of units that describe the financial counselling process and are to be assessed concurrently or sequentially:</w:t>
            </w:r>
          </w:p>
          <w:p w:rsidR="00000000" w:rsidRPr="00D93E83" w:rsidP="00D93E83">
            <w:pPr>
              <w:pStyle w:val="ListBullet"/>
            </w:pPr>
            <w:r w:rsidRPr="00D93E83">
              <w:t>CHCFIN501A Identify and apply technical information to assist clients with financial issues</w:t>
            </w:r>
          </w:p>
          <w:p w:rsidR="00000000" w:rsidRPr="00D93E83" w:rsidP="00D93E83">
            <w:pPr>
              <w:pStyle w:val="ListBullet"/>
            </w:pPr>
            <w:r w:rsidRPr="00D93E83">
              <w:t>CHCFIN502A Facilitate the fi</w:t>
            </w:r>
            <w:r w:rsidRPr="00D93E83">
              <w:t>nancial counselling process</w:t>
            </w:r>
          </w:p>
          <w:p w:rsidR="00000000" w:rsidP="00D93E83">
            <w:pPr>
              <w:pStyle w:val="ListBullet"/>
              <w:rPr>
                <w:lang w:val="en-NZ"/>
              </w:rPr>
            </w:pPr>
            <w:r w:rsidRPr="00D93E83">
              <w:t>CHCFIN503A Develop and use financial counselling tools and techniques</w:t>
            </w:r>
          </w:p>
        </w:tc>
      </w:tr>
      <w:tr w:rsidTr="00960E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93E83" w:rsidP="00D93E83">
            <w:pPr>
              <w:pStyle w:val="BodyText"/>
            </w:pPr>
          </w:p>
        </w:tc>
      </w:tr>
    </w:tbl>
    <w:p w:rsidR="00960E9B" w:rsidP="00D93E83">
      <w:pPr>
        <w:pStyle w:val="BodyText"/>
      </w:pPr>
    </w:p>
    <w:p w:rsidR="00960E9B" w:rsidP="00D93E83">
      <w:pPr>
        <w:pStyle w:val="BodyText"/>
      </w:pPr>
    </w:p>
    <w:p w:rsidR="00000000" w:rsidRPr="00D93E83" w:rsidP="00D93E83">
      <w:pPr>
        <w:pStyle w:val="Heading1"/>
      </w:pPr>
      <w:bookmarkStart w:id="11" w:name="O_249847"/>
      <w:bookmarkEnd w:id="11"/>
      <w:r w:rsidRPr="00D93E83">
        <w:t>Range Statement</w:t>
      </w:r>
    </w:p>
    <w:tbl>
      <w:tblPr>
        <w:tblW w:w="0" w:type="auto"/>
        <w:tblLayout w:type="fixed"/>
        <w:tblCellMar>
          <w:left w:w="62" w:type="dxa"/>
          <w:right w:w="62" w:type="dxa"/>
        </w:tblCellMar>
        <w:tblLook w:val="0000"/>
      </w:tblPr>
      <w:tblGrid>
        <w:gridCol w:w="3402"/>
        <w:gridCol w:w="5670"/>
      </w:tblGrid>
      <w:tr w:rsidTr="00960E9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93E83">
            <w:pPr>
              <w:pStyle w:val="BodyText"/>
              <w:rPr>
                <w:lang w:val="en-NZ"/>
              </w:rPr>
            </w:pPr>
            <w:r w:rsidRPr="00D93E83">
              <w:rPr>
                <w:rStyle w:val="SpecialBold"/>
              </w:rPr>
              <w:t>RANGE STATEMENT</w:t>
            </w:r>
          </w:p>
        </w:tc>
      </w:tr>
      <w:tr w:rsidTr="00960E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3E83">
            <w:pPr>
              <w:pStyle w:val="BodyText"/>
              <w:rPr>
                <w:lang w:val="en-NZ"/>
              </w:rPr>
            </w:pPr>
          </w:p>
        </w:tc>
      </w:tr>
      <w:tr w:rsidTr="00960E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3E83">
            <w:pPr>
              <w:pStyle w:val="BodyText"/>
              <w:rPr>
                <w:lang w:val="en-NZ"/>
              </w:rPr>
            </w:pPr>
            <w:r w:rsidRPr="00D93E83">
              <w:t>The Range Statement relates to the unit of competency as a whole. It allows for different work environments and situations that may affect performance. Add any essential operating conditions that may be present with training and assessment depending on the</w:t>
            </w:r>
            <w:r w:rsidRPr="00D93E83">
              <w:t xml:space="preserve"> work situation, needs of the candidate, accessibility of the item, and local industry and regional contexts.</w:t>
            </w:r>
          </w:p>
        </w:tc>
      </w:tr>
      <w:tr w:rsidTr="00960E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p>
        </w:tc>
      </w:tr>
      <w:tr w:rsidTr="00960E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3E83">
            <w:pPr>
              <w:pStyle w:val="BodyText"/>
              <w:rPr>
                <w:lang w:val="en-NZ"/>
              </w:rPr>
            </w:pPr>
            <w:r w:rsidRPr="00D93E83">
              <w:rPr>
                <w:rStyle w:val="Emphasis"/>
              </w:rPr>
              <w:t>Information on clients financial situation and relevant personal details will include</w:t>
            </w:r>
            <w:r w:rsidRPr="00D93E83">
              <w:t>:</w:t>
            </w:r>
          </w:p>
        </w:tc>
        <w:tc>
          <w:tcPr>
            <w:tcW w:w="5670" w:type="dxa"/>
            <w:tcBorders>
              <w:top w:val="nil"/>
              <w:left w:val="nil"/>
              <w:bottom w:val="nil"/>
              <w:right w:val="nil"/>
            </w:tcBorders>
            <w:tcMar>
              <w:top w:w="0" w:type="dxa"/>
              <w:left w:w="62" w:type="dxa"/>
              <w:bottom w:w="0" w:type="dxa"/>
              <w:right w:w="62" w:type="dxa"/>
            </w:tcMar>
          </w:tcPr>
          <w:p w:rsidR="00000000" w:rsidRPr="00D93E83" w:rsidP="00D93E83">
            <w:pPr>
              <w:pStyle w:val="ListBullet"/>
            </w:pPr>
            <w:r w:rsidRPr="00D93E83">
              <w:t>Income and entitlements</w:t>
            </w:r>
          </w:p>
          <w:p w:rsidR="00000000" w:rsidRPr="00D93E83" w:rsidP="00D93E83">
            <w:pPr>
              <w:pStyle w:val="ListBullet"/>
            </w:pPr>
            <w:r w:rsidRPr="00D93E83">
              <w:t>Credit and debt commitments</w:t>
            </w:r>
          </w:p>
          <w:p w:rsidR="00000000" w:rsidRPr="00D93E83" w:rsidP="00D93E83">
            <w:pPr>
              <w:pStyle w:val="ListBullet"/>
            </w:pPr>
            <w:r w:rsidRPr="00D93E83">
              <w:t>Assets</w:t>
            </w:r>
          </w:p>
          <w:p w:rsidR="00000000" w:rsidRPr="00D93E83" w:rsidP="00D93E83">
            <w:pPr>
              <w:pStyle w:val="ListBullet"/>
            </w:pPr>
            <w:r w:rsidRPr="00D93E83">
              <w:t xml:space="preserve">Household expenditure </w:t>
            </w:r>
          </w:p>
          <w:p w:rsidR="00000000" w:rsidRPr="00D93E83" w:rsidP="00D93E83">
            <w:pPr>
              <w:pStyle w:val="ListBullet"/>
            </w:pPr>
            <w:r w:rsidRPr="00D93E83">
              <w:t xml:space="preserve">Possible sources of financial assistance </w:t>
            </w:r>
          </w:p>
          <w:p w:rsidR="00000000" w:rsidRPr="00D93E83" w:rsidP="00D93E83">
            <w:pPr>
              <w:pStyle w:val="ListBullet"/>
            </w:pPr>
            <w:r w:rsidRPr="00D93E83">
              <w:t>Employment status</w:t>
            </w:r>
          </w:p>
          <w:p w:rsidR="00000000" w:rsidRPr="00D93E83" w:rsidP="00D93E83">
            <w:pPr>
              <w:pStyle w:val="ListBullet"/>
            </w:pPr>
            <w:r w:rsidRPr="00D93E83">
              <w:t xml:space="preserve">Constituents of Household </w:t>
            </w:r>
          </w:p>
          <w:p w:rsidR="00000000" w:rsidP="00D93E83">
            <w:pPr>
              <w:pStyle w:val="ListBullet"/>
              <w:rPr>
                <w:lang w:val="en-NZ"/>
              </w:rPr>
            </w:pPr>
            <w:r w:rsidRPr="00D93E83">
              <w:t>Any personal issues with direct impact on the financial situation</w:t>
            </w:r>
          </w:p>
        </w:tc>
      </w:tr>
      <w:tr w:rsidTr="00960E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93E83" w:rsidP="00D93E83">
            <w:pPr>
              <w:pStyle w:val="BodyText"/>
            </w:pPr>
          </w:p>
        </w:tc>
      </w:tr>
    </w:tbl>
    <w:p w:rsidR="00960E9B" w:rsidP="00D93E83">
      <w:pPr>
        <w:pStyle w:val="BodyText"/>
      </w:pPr>
    </w:p>
    <w:p w:rsidR="00960E9B" w:rsidP="00D93E83">
      <w:pPr>
        <w:pStyle w:val="BodyText"/>
      </w:pPr>
    </w:p>
    <w:p w:rsidR="00000000" w:rsidRPr="00D93E83" w:rsidP="00D93E83">
      <w:pPr>
        <w:pStyle w:val="Heading1"/>
      </w:pPr>
      <w:bookmarkStart w:id="12" w:name="O_294152"/>
      <w:bookmarkEnd w:id="12"/>
      <w:r w:rsidRPr="00D93E83">
        <w:t>Unit Sector(s)</w:t>
      </w:r>
    </w:p>
    <w:p w:rsidR="00000000" w:rsidRPr="00D93E83" w:rsidP="00D93E83">
      <w:pPr>
        <w:pStyle w:val="BodyText"/>
      </w:pPr>
      <w:r w:rsidRPr="00D93E83">
        <w:t>Not Applicable</w:t>
      </w:r>
    </w:p>
    <w:p w:rsidR="00000000" w:rsidRPr="00D93E83" w:rsidP="00D93E83"/>
    <w:sectPr w:rsidSect="00D93E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0E9B" w:rsidP="00960E9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E9B" w:rsidP="00D93E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60E9B" w:rsidP="00D93E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60E9B" w:rsidP="00D93E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83" w:rsidRPr="00960E9B" w:rsidP="00960E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E9B" w:rsidRPr="002D2AF8" w:rsidP="00D93E83">
    <w:pPr>
      <w:pStyle w:val="Header"/>
      <w:framePr w:wrap="around"/>
    </w:pPr>
    <w:r>
      <w:fldChar w:fldCharType="begin"/>
    </w:r>
    <w:r>
      <w:instrText xml:space="preserve"> TITLE   \* MERGEFORMAT </w:instrText>
    </w:r>
    <w:r>
      <w:fldChar w:fldCharType="separate"/>
    </w:r>
    <w:r>
      <w:t>CHCFIN501A Identify and apply technical information to assist clients with financial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60E9B" w:rsidP="00D93E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16E3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AA15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FE7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E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3E83"/>
    <w:pPr>
      <w:spacing w:before="360" w:after="60"/>
      <w:outlineLvl w:val="0"/>
    </w:pPr>
    <w:rPr>
      <w:sz w:val="32"/>
    </w:rPr>
  </w:style>
  <w:style w:type="paragraph" w:styleId="Heading2">
    <w:name w:val="heading 2"/>
    <w:basedOn w:val="HeadingBase"/>
    <w:next w:val="BodyText"/>
    <w:link w:val="Heading2Char"/>
    <w:qFormat/>
    <w:rsid w:val="00D93E83"/>
    <w:pPr>
      <w:keepLines/>
      <w:spacing w:before="240" w:after="120"/>
      <w:outlineLvl w:val="1"/>
    </w:pPr>
    <w:rPr>
      <w:sz w:val="28"/>
      <w:szCs w:val="40"/>
    </w:rPr>
  </w:style>
  <w:style w:type="paragraph" w:styleId="Heading3">
    <w:name w:val="heading 3"/>
    <w:basedOn w:val="HeadingBase"/>
    <w:next w:val="BodyText"/>
    <w:link w:val="Heading3Char"/>
    <w:qFormat/>
    <w:rsid w:val="00D93E83"/>
    <w:pPr>
      <w:spacing w:before="180" w:after="120"/>
      <w:outlineLvl w:val="2"/>
    </w:pPr>
    <w:rPr>
      <w:spacing w:val="-10"/>
      <w:kern w:val="32"/>
    </w:rPr>
  </w:style>
  <w:style w:type="paragraph" w:styleId="Heading4">
    <w:name w:val="heading 4"/>
    <w:basedOn w:val="HeadingBase"/>
    <w:next w:val="BodyText"/>
    <w:link w:val="Heading4Char"/>
    <w:qFormat/>
    <w:rsid w:val="00D93E83"/>
    <w:pPr>
      <w:spacing w:before="160" w:after="120"/>
      <w:outlineLvl w:val="3"/>
    </w:pPr>
    <w:rPr>
      <w:sz w:val="22"/>
    </w:rPr>
  </w:style>
  <w:style w:type="paragraph" w:styleId="Heading5">
    <w:name w:val="heading 5"/>
    <w:basedOn w:val="HeadingBase"/>
    <w:next w:val="Normal"/>
    <w:link w:val="Heading5Char"/>
    <w:qFormat/>
    <w:rsid w:val="00D93E83"/>
    <w:pPr>
      <w:spacing w:before="80"/>
      <w:outlineLvl w:val="4"/>
    </w:pPr>
    <w:rPr>
      <w:color w:val="918585"/>
      <w:sz w:val="20"/>
    </w:rPr>
  </w:style>
  <w:style w:type="paragraph" w:styleId="Heading6">
    <w:name w:val="heading 6"/>
    <w:basedOn w:val="HeadingBase"/>
    <w:next w:val="Normal"/>
    <w:link w:val="Heading6Char"/>
    <w:qFormat/>
    <w:rsid w:val="00D93E83"/>
    <w:pPr>
      <w:spacing w:before="60"/>
      <w:outlineLvl w:val="5"/>
    </w:pPr>
    <w:rPr>
      <w:color w:val="918585"/>
      <w:sz w:val="20"/>
    </w:rPr>
  </w:style>
  <w:style w:type="paragraph" w:styleId="Heading7">
    <w:name w:val="heading 7"/>
    <w:basedOn w:val="Normal"/>
    <w:next w:val="Normal"/>
    <w:link w:val="Heading7Char"/>
    <w:qFormat/>
    <w:rsid w:val="00D93E83"/>
    <w:pPr>
      <w:ind w:left="720"/>
      <w:outlineLvl w:val="6"/>
    </w:pPr>
    <w:rPr>
      <w:i/>
    </w:rPr>
  </w:style>
  <w:style w:type="paragraph" w:styleId="Heading8">
    <w:name w:val="heading 8"/>
    <w:basedOn w:val="Normal"/>
    <w:next w:val="Normal"/>
    <w:link w:val="Heading8Char"/>
    <w:qFormat/>
    <w:rsid w:val="00D93E83"/>
    <w:pPr>
      <w:ind w:left="720"/>
      <w:outlineLvl w:val="7"/>
    </w:pPr>
    <w:rPr>
      <w:i/>
    </w:rPr>
  </w:style>
  <w:style w:type="paragraph" w:styleId="Heading9">
    <w:name w:val="heading 9"/>
    <w:basedOn w:val="Normal"/>
    <w:next w:val="Normal"/>
    <w:link w:val="Heading9Char"/>
    <w:qFormat/>
    <w:rsid w:val="00D93E83"/>
    <w:pPr>
      <w:ind w:left="720"/>
      <w:outlineLvl w:val="8"/>
    </w:pPr>
    <w:rPr>
      <w:i/>
    </w:rPr>
  </w:style>
  <w:style w:type="character" w:default="1" w:styleId="DefaultParagraphFont">
    <w:name w:val="Default Paragraph Font"/>
    <w:uiPriority w:val="1"/>
    <w:unhideWhenUsed/>
    <w:rsid w:val="00D93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E83"/>
  </w:style>
  <w:style w:type="character" w:customStyle="1" w:styleId="Heading1Char">
    <w:name w:val="Heading 1 Char"/>
    <w:basedOn w:val="DefaultParagraphFont"/>
    <w:link w:val="Heading1"/>
    <w:rsid w:val="00D93E83"/>
    <w:rPr>
      <w:rFonts w:ascii="Times New Roman" w:eastAsia="Times New Roman" w:hAnsi="Times New Roman" w:cs="Times New Roman"/>
      <w:b/>
      <w:sz w:val="32"/>
      <w:szCs w:val="20"/>
      <w:lang w:eastAsia="en-US"/>
    </w:rPr>
  </w:style>
  <w:style w:type="paragraph" w:styleId="BodyText">
    <w:name w:val="Body Text"/>
    <w:basedOn w:val="Normal"/>
    <w:link w:val="BodyTextChar"/>
    <w:rsid w:val="00D93E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3E83"/>
    <w:rPr>
      <w:rFonts w:ascii="Times New Roman" w:eastAsia="Times New Roman" w:hAnsi="Times New Roman" w:cs="Times New Roman"/>
      <w:sz w:val="24"/>
      <w:lang w:eastAsia="en-US"/>
    </w:rPr>
  </w:style>
  <w:style w:type="paragraph" w:styleId="Footer">
    <w:name w:val="footer"/>
    <w:basedOn w:val="Normal"/>
    <w:link w:val="FooterChar"/>
    <w:rsid w:val="00D93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E83"/>
    <w:rPr>
      <w:rFonts w:ascii="Times New Roman" w:eastAsia="Times New Roman" w:hAnsi="Times New Roman" w:cs="Times New Roman"/>
      <w:sz w:val="16"/>
      <w:lang w:eastAsia="en-US"/>
    </w:rPr>
  </w:style>
  <w:style w:type="paragraph" w:styleId="List">
    <w:name w:val="List"/>
    <w:basedOn w:val="BodyText"/>
    <w:next w:val="BodyText"/>
    <w:rsid w:val="00D93E83"/>
    <w:pPr>
      <w:tabs>
        <w:tab w:val="left" w:pos="340"/>
      </w:tabs>
      <w:spacing w:before="60" w:after="60"/>
      <w:ind w:left="340" w:hanging="340"/>
    </w:pPr>
  </w:style>
  <w:style w:type="paragraph" w:styleId="ListBullet">
    <w:name w:val="List Bullet"/>
    <w:basedOn w:val="List"/>
    <w:rsid w:val="00D93E83"/>
    <w:pPr>
      <w:numPr>
        <w:numId w:val="13"/>
      </w:numPr>
      <w:tabs>
        <w:tab w:val="clear" w:pos="340"/>
      </w:tabs>
      <w:spacing w:before="40" w:after="40"/>
    </w:pPr>
  </w:style>
  <w:style w:type="character" w:customStyle="1" w:styleId="SpecialBold">
    <w:name w:val="Special Bold"/>
    <w:basedOn w:val="DefaultParagraphFont"/>
    <w:rsid w:val="00D93E83"/>
    <w:rPr>
      <w:b/>
      <w:spacing w:val="0"/>
    </w:rPr>
  </w:style>
  <w:style w:type="paragraph" w:styleId="ListBullet2">
    <w:name w:val="List Bullet 2"/>
    <w:basedOn w:val="List2"/>
    <w:rsid w:val="00D93E83"/>
    <w:pPr>
      <w:numPr>
        <w:numId w:val="14"/>
      </w:numPr>
      <w:tabs>
        <w:tab w:val="clear" w:pos="680"/>
      </w:tabs>
    </w:pPr>
  </w:style>
  <w:style w:type="character" w:styleId="Emphasis">
    <w:name w:val="Emphasis"/>
    <w:basedOn w:val="DefaultParagraphFont"/>
    <w:qFormat/>
    <w:rsid w:val="00D93E83"/>
    <w:rPr>
      <w:i/>
    </w:rPr>
  </w:style>
  <w:style w:type="paragraph" w:customStyle="1" w:styleId="SuperHeading">
    <w:name w:val="SuperHeading"/>
    <w:basedOn w:val="Normal"/>
    <w:rsid w:val="00D93E83"/>
    <w:pPr>
      <w:spacing w:before="240" w:after="120"/>
      <w:outlineLvl w:val="0"/>
    </w:pPr>
    <w:rPr>
      <w:rFonts w:ascii="Times New Roman" w:hAnsi="Times New Roman"/>
      <w:b/>
      <w:sz w:val="28"/>
    </w:rPr>
  </w:style>
  <w:style w:type="paragraph" w:customStyle="1" w:styleId="AllowPageBreak">
    <w:name w:val="AllowPageBreak"/>
    <w:rsid w:val="00D93E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3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E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3E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3E83"/>
    <w:rPr>
      <w:rFonts w:ascii="Courier New" w:eastAsia="Times New Roman" w:hAnsi="Courier New" w:cs="Times New Roman"/>
      <w:i/>
      <w:szCs w:val="20"/>
      <w:lang w:eastAsia="en-US"/>
    </w:rPr>
  </w:style>
  <w:style w:type="paragraph" w:customStyle="1" w:styleId="HeadingBase">
    <w:name w:val="Heading Base"/>
    <w:rsid w:val="00D93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E83"/>
    <w:pPr>
      <w:tabs>
        <w:tab w:val="right" w:leader="dot" w:pos="9072"/>
      </w:tabs>
      <w:ind w:left="567"/>
    </w:pPr>
    <w:rPr>
      <w:szCs w:val="22"/>
    </w:rPr>
  </w:style>
  <w:style w:type="paragraph" w:customStyle="1" w:styleId="TOCBase">
    <w:name w:val="TOC Base"/>
    <w:rsid w:val="00D93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E83"/>
    <w:pPr>
      <w:tabs>
        <w:tab w:val="right" w:leader="dot" w:pos="9072"/>
      </w:tabs>
      <w:spacing w:before="40" w:after="40"/>
      <w:ind w:left="284"/>
    </w:pPr>
    <w:rPr>
      <w:rFonts w:ascii="Times New Roman" w:hAnsi="Times New Roman"/>
    </w:rPr>
  </w:style>
  <w:style w:type="paragraph" w:styleId="TOC1">
    <w:name w:val="toc 1"/>
    <w:basedOn w:val="TOCBase"/>
    <w:next w:val="Normal"/>
    <w:rsid w:val="00D93E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3E83"/>
    <w:pPr>
      <w:spacing w:before="5040"/>
      <w:jc w:val="center"/>
    </w:pPr>
    <w:rPr>
      <w:sz w:val="48"/>
      <w:szCs w:val="72"/>
      <w:lang w:val="en-US"/>
    </w:rPr>
  </w:style>
  <w:style w:type="character" w:customStyle="1" w:styleId="TitleChar">
    <w:name w:val="Title Char"/>
    <w:basedOn w:val="DefaultParagraphFont"/>
    <w:link w:val="Title"/>
    <w:rsid w:val="00D93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E83"/>
    <w:pPr>
      <w:tabs>
        <w:tab w:val="left" w:pos="3600"/>
        <w:tab w:val="left" w:pos="3958"/>
      </w:tabs>
    </w:pPr>
  </w:style>
  <w:style w:type="paragraph" w:customStyle="1" w:styleId="Note">
    <w:name w:val="Note"/>
    <w:basedOn w:val="BodyText"/>
    <w:rsid w:val="00D93E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E83"/>
    <w:pPr>
      <w:framePr w:wrap="auto" w:hAnchor="text" w:y="6049"/>
    </w:pPr>
    <w:rPr>
      <w:color w:val="000000"/>
      <w:sz w:val="40"/>
    </w:rPr>
  </w:style>
  <w:style w:type="paragraph" w:customStyle="1" w:styleId="TOCTitle">
    <w:name w:val="TOCTitle"/>
    <w:basedOn w:val="Heading1"/>
    <w:rsid w:val="00D93E83"/>
    <w:pPr>
      <w:spacing w:after="240"/>
      <w:jc w:val="center"/>
      <w:outlineLvl w:val="9"/>
    </w:pPr>
    <w:rPr>
      <w:caps/>
    </w:rPr>
  </w:style>
  <w:style w:type="paragraph" w:customStyle="1" w:styleId="Version">
    <w:name w:val="Version"/>
    <w:rsid w:val="00D93E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3E83"/>
    <w:pPr>
      <w:keepNext w:val="0"/>
      <w:tabs>
        <w:tab w:val="right" w:pos="4176"/>
      </w:tabs>
      <w:ind w:left="198" w:hanging="198"/>
    </w:pPr>
    <w:rPr>
      <w:rFonts w:ascii="Garamond" w:hAnsi="Garamond"/>
    </w:rPr>
  </w:style>
  <w:style w:type="paragraph" w:styleId="IndexHeading">
    <w:name w:val="index heading"/>
    <w:basedOn w:val="Normal"/>
    <w:next w:val="Index1"/>
    <w:semiHidden/>
    <w:rsid w:val="00D93E83"/>
    <w:pPr>
      <w:spacing w:before="120" w:after="120"/>
    </w:pPr>
    <w:rPr>
      <w:rFonts w:ascii="Arial" w:hAnsi="Arial"/>
      <w:b/>
      <w:color w:val="918585"/>
      <w:sz w:val="24"/>
    </w:rPr>
  </w:style>
  <w:style w:type="paragraph" w:styleId="Header">
    <w:name w:val="header"/>
    <w:basedOn w:val="Normal"/>
    <w:link w:val="HeaderChar"/>
    <w:rsid w:val="00D93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E83"/>
    <w:rPr>
      <w:rFonts w:ascii="Times New Roman" w:eastAsia="Times New Roman" w:hAnsi="Times New Roman" w:cs="Times New Roman"/>
      <w:sz w:val="16"/>
      <w:szCs w:val="20"/>
      <w:lang w:val="en-GB" w:eastAsia="en-US"/>
    </w:rPr>
  </w:style>
  <w:style w:type="paragraph" w:customStyle="1" w:styleId="Chapter">
    <w:name w:val="Chapter"/>
    <w:basedOn w:val="Normal"/>
    <w:rsid w:val="00D93E83"/>
    <w:pPr>
      <w:spacing w:before="240"/>
    </w:pPr>
    <w:rPr>
      <w:rFonts w:ascii="Times New Roman" w:hAnsi="Times New Roman"/>
      <w:smallCaps/>
      <w:spacing w:val="80"/>
      <w:sz w:val="28"/>
    </w:rPr>
  </w:style>
  <w:style w:type="paragraph" w:customStyle="1" w:styleId="InChapter">
    <w:name w:val="InChapter"/>
    <w:basedOn w:val="Heading3"/>
    <w:rsid w:val="00D93E83"/>
    <w:pPr>
      <w:spacing w:after="240"/>
      <w:outlineLvl w:val="9"/>
    </w:pPr>
    <w:rPr>
      <w:noProof/>
    </w:rPr>
  </w:style>
  <w:style w:type="paragraph" w:styleId="Index2">
    <w:name w:val="index 2"/>
    <w:basedOn w:val="Normal"/>
    <w:next w:val="Normal"/>
    <w:semiHidden/>
    <w:rsid w:val="00D93E83"/>
    <w:pPr>
      <w:tabs>
        <w:tab w:val="right" w:pos="4176"/>
      </w:tabs>
      <w:ind w:left="568" w:hanging="284"/>
    </w:pPr>
    <w:rPr>
      <w:rFonts w:ascii="Garamond" w:hAnsi="Garamond"/>
    </w:rPr>
  </w:style>
  <w:style w:type="paragraph" w:customStyle="1" w:styleId="Byline">
    <w:name w:val="Byline"/>
    <w:rsid w:val="00D93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E83"/>
    <w:pPr>
      <w:tabs>
        <w:tab w:val="clear" w:pos="3600"/>
        <w:tab w:val="clear" w:pos="3958"/>
      </w:tabs>
      <w:jc w:val="right"/>
    </w:pPr>
  </w:style>
  <w:style w:type="paragraph" w:styleId="Caption">
    <w:name w:val="caption"/>
    <w:basedOn w:val="BodyText"/>
    <w:next w:val="Normal"/>
    <w:qFormat/>
    <w:rsid w:val="00D93E83"/>
    <w:pPr>
      <w:framePr w:w="2268" w:hSpace="181" w:vSpace="181" w:wrap="around" w:vAnchor="text" w:hAnchor="page" w:x="1135" w:y="285" w:anchorLock="1"/>
    </w:pPr>
    <w:rPr>
      <w:i/>
    </w:rPr>
  </w:style>
  <w:style w:type="paragraph" w:customStyle="1" w:styleId="MiniTOCTitle">
    <w:name w:val="MiniTOCTitle"/>
    <w:basedOn w:val="Heading4"/>
    <w:rsid w:val="00D93E83"/>
    <w:pPr>
      <w:spacing w:before="240"/>
      <w:outlineLvl w:val="9"/>
    </w:pPr>
    <w:rPr>
      <w:noProof/>
      <w:sz w:val="24"/>
    </w:rPr>
  </w:style>
  <w:style w:type="paragraph" w:customStyle="1" w:styleId="MiniTOCItem">
    <w:name w:val="MiniTOCItem"/>
    <w:basedOn w:val="ListBullet"/>
    <w:rsid w:val="00D93E83"/>
    <w:pPr>
      <w:numPr>
        <w:numId w:val="0"/>
      </w:numPr>
      <w:tabs>
        <w:tab w:val="right" w:leader="dot" w:pos="6521"/>
      </w:tabs>
      <w:spacing w:before="0" w:after="0"/>
    </w:pPr>
  </w:style>
  <w:style w:type="paragraph" w:customStyle="1" w:styleId="TOFTitle">
    <w:name w:val="TOFTitle"/>
    <w:basedOn w:val="TOCTitle"/>
    <w:rsid w:val="00D93E83"/>
  </w:style>
  <w:style w:type="paragraph" w:styleId="TableofFigures">
    <w:name w:val="table of figures"/>
    <w:basedOn w:val="Normal"/>
    <w:next w:val="Normal"/>
    <w:semiHidden/>
    <w:rsid w:val="00D93E83"/>
    <w:pPr>
      <w:tabs>
        <w:tab w:val="right" w:leader="dot" w:pos="9072"/>
      </w:tabs>
      <w:ind w:left="970" w:hanging="403"/>
    </w:pPr>
    <w:rPr>
      <w:rFonts w:ascii="Times New Roman" w:hAnsi="Times New Roman"/>
      <w:b/>
    </w:rPr>
  </w:style>
  <w:style w:type="paragraph" w:styleId="ListNumber">
    <w:name w:val="List Number"/>
    <w:basedOn w:val="List"/>
    <w:rsid w:val="00D93E83"/>
    <w:pPr>
      <w:numPr>
        <w:numId w:val="11"/>
      </w:numPr>
    </w:pPr>
  </w:style>
  <w:style w:type="character" w:customStyle="1" w:styleId="WingdingSymbols">
    <w:name w:val="Wingding Symbols"/>
    <w:rsid w:val="00D93E83"/>
    <w:rPr>
      <w:rFonts w:ascii="Wingdings" w:hAnsi="Wingdings"/>
    </w:rPr>
  </w:style>
  <w:style w:type="paragraph" w:customStyle="1" w:styleId="TableHeading">
    <w:name w:val="Table Heading"/>
    <w:basedOn w:val="HeadingBase"/>
    <w:rsid w:val="00D93E83"/>
    <w:pPr>
      <w:keepLines/>
      <w:pBdr>
        <w:bottom w:val="single" w:sz="6" w:space="1" w:color="918585"/>
      </w:pBdr>
      <w:spacing w:before="240"/>
    </w:pPr>
  </w:style>
  <w:style w:type="character" w:customStyle="1" w:styleId="HotSpot">
    <w:name w:val="HotSpot"/>
    <w:rsid w:val="00D93E83"/>
    <w:rPr>
      <w:color w:val="0033CC"/>
      <w:u w:val="none"/>
    </w:rPr>
  </w:style>
  <w:style w:type="paragraph" w:customStyle="1" w:styleId="BodyTextRight">
    <w:name w:val="Body Text Right"/>
    <w:basedOn w:val="BodyText"/>
    <w:rsid w:val="00D93E83"/>
    <w:pPr>
      <w:spacing w:before="0" w:after="0"/>
      <w:jc w:val="right"/>
    </w:pPr>
  </w:style>
  <w:style w:type="paragraph" w:styleId="Index3">
    <w:name w:val="index 3"/>
    <w:basedOn w:val="ListNumber2"/>
    <w:next w:val="Normal"/>
    <w:semiHidden/>
    <w:rsid w:val="00D93E83"/>
    <w:pPr>
      <w:numPr>
        <w:numId w:val="0"/>
      </w:numPr>
      <w:tabs>
        <w:tab w:val="right" w:leader="dot" w:pos="4176"/>
      </w:tabs>
    </w:pPr>
  </w:style>
  <w:style w:type="paragraph" w:styleId="ListNumber2">
    <w:name w:val="List Number 2"/>
    <w:basedOn w:val="List2"/>
    <w:rsid w:val="00D93E83"/>
    <w:pPr>
      <w:numPr>
        <w:numId w:val="10"/>
      </w:numPr>
      <w:tabs>
        <w:tab w:val="clear" w:pos="1060"/>
      </w:tabs>
    </w:pPr>
  </w:style>
  <w:style w:type="paragraph" w:customStyle="1" w:styleId="MarginNote">
    <w:name w:val="Margin Note"/>
    <w:basedOn w:val="BodyText"/>
    <w:rsid w:val="00D93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E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3E83"/>
    <w:rPr>
      <w:sz w:val="32"/>
    </w:rPr>
  </w:style>
  <w:style w:type="paragraph" w:customStyle="1" w:styleId="HeadingProcedure">
    <w:name w:val="Heading Procedure"/>
    <w:basedOn w:val="HeadingBase"/>
    <w:next w:val="Normal"/>
    <w:rsid w:val="00D93E83"/>
    <w:pPr>
      <w:tabs>
        <w:tab w:val="left" w:pos="0"/>
      </w:tabs>
      <w:spacing w:before="120" w:after="60"/>
    </w:pPr>
    <w:rPr>
      <w:i/>
      <w:color w:val="918585"/>
      <w:sz w:val="22"/>
    </w:rPr>
  </w:style>
  <w:style w:type="paragraph" w:customStyle="1" w:styleId="TableBodyText">
    <w:name w:val="Table Body Text"/>
    <w:basedOn w:val="BodyText"/>
    <w:rsid w:val="00D93E83"/>
    <w:pPr>
      <w:spacing w:before="60" w:after="60"/>
    </w:pPr>
  </w:style>
  <w:style w:type="paragraph" w:styleId="ListContinue">
    <w:name w:val="List Continue"/>
    <w:basedOn w:val="List"/>
    <w:rsid w:val="00D93E83"/>
    <w:pPr>
      <w:ind w:firstLine="0"/>
    </w:pPr>
  </w:style>
  <w:style w:type="paragraph" w:customStyle="1" w:styleId="ListNote">
    <w:name w:val="List Note"/>
    <w:basedOn w:val="List"/>
    <w:rsid w:val="00D93E83"/>
    <w:pPr>
      <w:pBdr>
        <w:top w:val="single" w:sz="6" w:space="2" w:color="918585"/>
        <w:bottom w:val="single" w:sz="6" w:space="2" w:color="918585"/>
      </w:pBdr>
      <w:tabs>
        <w:tab w:val="left" w:pos="1021"/>
      </w:tabs>
      <w:ind w:firstLine="0"/>
    </w:pPr>
  </w:style>
  <w:style w:type="paragraph" w:customStyle="1" w:styleId="Warning">
    <w:name w:val="Warning"/>
    <w:basedOn w:val="BodyText"/>
    <w:rsid w:val="00D93E83"/>
    <w:pPr>
      <w:shd w:val="clear" w:color="auto" w:fill="D9D9D9"/>
      <w:tabs>
        <w:tab w:val="left" w:pos="992"/>
      </w:tabs>
      <w:ind w:left="119" w:right="119"/>
    </w:pPr>
    <w:rPr>
      <w:sz w:val="20"/>
    </w:rPr>
  </w:style>
  <w:style w:type="paragraph" w:customStyle="1" w:styleId="MarginIcons">
    <w:name w:val="Margin Icons"/>
    <w:basedOn w:val="BodyText"/>
    <w:rsid w:val="00D93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E83"/>
    <w:rPr>
      <w:rFonts w:ascii="Courier New" w:hAnsi="Courier New"/>
    </w:rPr>
  </w:style>
  <w:style w:type="paragraph" w:customStyle="1" w:styleId="NoteBullet">
    <w:name w:val="Note Bullet"/>
    <w:basedOn w:val="Note"/>
    <w:rsid w:val="00D93E83"/>
    <w:pPr>
      <w:tabs>
        <w:tab w:val="clear" w:pos="680"/>
      </w:tabs>
      <w:spacing w:before="60" w:after="60"/>
    </w:pPr>
  </w:style>
  <w:style w:type="paragraph" w:customStyle="1" w:styleId="SubHeading2">
    <w:name w:val="SubHeading2"/>
    <w:basedOn w:val="HeadingBase"/>
    <w:rsid w:val="00D93E83"/>
    <w:pPr>
      <w:spacing w:before="240" w:after="60"/>
    </w:pPr>
    <w:rPr>
      <w:sz w:val="20"/>
    </w:rPr>
  </w:style>
  <w:style w:type="paragraph" w:customStyle="1" w:styleId="SubHeading1">
    <w:name w:val="SubHeading1"/>
    <w:basedOn w:val="HeadingBase"/>
    <w:rsid w:val="00D93E83"/>
    <w:pPr>
      <w:spacing w:before="240" w:after="60"/>
    </w:pPr>
    <w:rPr>
      <w:color w:val="918585"/>
      <w:sz w:val="22"/>
    </w:rPr>
  </w:style>
  <w:style w:type="paragraph" w:customStyle="1" w:styleId="SideHeading">
    <w:name w:val="Side Heading"/>
    <w:basedOn w:val="HeadingBase"/>
    <w:rsid w:val="00D93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E83"/>
    <w:pPr>
      <w:numPr>
        <w:numId w:val="12"/>
      </w:numPr>
    </w:pPr>
  </w:style>
  <w:style w:type="paragraph" w:styleId="PlainText">
    <w:name w:val="Plain Text"/>
    <w:basedOn w:val="Normal"/>
    <w:link w:val="PlainTextChar"/>
    <w:rsid w:val="00D93E83"/>
    <w:rPr>
      <w:sz w:val="20"/>
    </w:rPr>
  </w:style>
  <w:style w:type="character" w:customStyle="1" w:styleId="PlainTextChar">
    <w:name w:val="Plain Text Char"/>
    <w:basedOn w:val="DefaultParagraphFont"/>
    <w:link w:val="PlainText"/>
    <w:rsid w:val="00D93E83"/>
    <w:rPr>
      <w:rFonts w:ascii="Courier New" w:eastAsia="Times New Roman" w:hAnsi="Courier New" w:cs="Times New Roman"/>
      <w:sz w:val="20"/>
      <w:szCs w:val="20"/>
      <w:lang w:eastAsia="en-US"/>
    </w:rPr>
  </w:style>
  <w:style w:type="character" w:customStyle="1" w:styleId="MenuOption">
    <w:name w:val="Menu Option"/>
    <w:basedOn w:val="DefaultParagraphFont"/>
    <w:rsid w:val="00D93E83"/>
    <w:rPr>
      <w:b/>
      <w:smallCaps/>
    </w:rPr>
  </w:style>
  <w:style w:type="paragraph" w:customStyle="1" w:styleId="TableListNumber">
    <w:name w:val="Table List Number"/>
    <w:basedOn w:val="ListNumber"/>
    <w:rsid w:val="00D93E83"/>
    <w:pPr>
      <w:numPr>
        <w:numId w:val="0"/>
      </w:numPr>
    </w:pPr>
  </w:style>
  <w:style w:type="paragraph" w:styleId="TOC4">
    <w:name w:val="toc 4"/>
    <w:basedOn w:val="TOCBase"/>
    <w:next w:val="Normal"/>
    <w:semiHidden/>
    <w:rsid w:val="00D93E83"/>
    <w:pPr>
      <w:tabs>
        <w:tab w:val="right" w:leader="dot" w:pos="9071"/>
      </w:tabs>
      <w:ind w:left="1701"/>
    </w:pPr>
  </w:style>
  <w:style w:type="paragraph" w:customStyle="1" w:styleId="ListAlpha">
    <w:name w:val="List Alpha"/>
    <w:basedOn w:val="List"/>
    <w:rsid w:val="00D93E83"/>
    <w:pPr>
      <w:numPr>
        <w:numId w:val="9"/>
      </w:numPr>
    </w:pPr>
  </w:style>
  <w:style w:type="paragraph" w:customStyle="1" w:styleId="ListAlpha2">
    <w:name w:val="List Alpha 2"/>
    <w:basedOn w:val="List2"/>
    <w:rsid w:val="00D93E83"/>
    <w:pPr>
      <w:numPr>
        <w:numId w:val="8"/>
      </w:numPr>
    </w:pPr>
  </w:style>
  <w:style w:type="paragraph" w:styleId="List2">
    <w:name w:val="List 2"/>
    <w:basedOn w:val="BodyText"/>
    <w:rsid w:val="00D93E83"/>
    <w:pPr>
      <w:tabs>
        <w:tab w:val="left" w:pos="680"/>
      </w:tabs>
      <w:spacing w:before="60" w:after="60"/>
      <w:ind w:left="680" w:hanging="340"/>
    </w:pPr>
  </w:style>
  <w:style w:type="paragraph" w:styleId="List3">
    <w:name w:val="List 3"/>
    <w:basedOn w:val="BodyText"/>
    <w:rsid w:val="00D93E83"/>
    <w:pPr>
      <w:tabs>
        <w:tab w:val="left" w:pos="1021"/>
      </w:tabs>
      <w:spacing w:before="60" w:after="60"/>
      <w:ind w:left="1020" w:hanging="340"/>
    </w:pPr>
  </w:style>
  <w:style w:type="paragraph" w:styleId="List4">
    <w:name w:val="List 4"/>
    <w:basedOn w:val="BodyText"/>
    <w:rsid w:val="00D93E83"/>
    <w:pPr>
      <w:tabs>
        <w:tab w:val="left" w:pos="1361"/>
      </w:tabs>
      <w:spacing w:before="60" w:after="60"/>
      <w:ind w:left="1361" w:hanging="340"/>
    </w:pPr>
  </w:style>
  <w:style w:type="paragraph" w:styleId="List5">
    <w:name w:val="List 5"/>
    <w:basedOn w:val="BodyText"/>
    <w:rsid w:val="00D93E83"/>
    <w:pPr>
      <w:tabs>
        <w:tab w:val="left" w:pos="1701"/>
      </w:tabs>
      <w:spacing w:before="60" w:after="60"/>
      <w:ind w:left="1701" w:hanging="340"/>
    </w:pPr>
  </w:style>
  <w:style w:type="paragraph" w:styleId="ListBullet3">
    <w:name w:val="List Bullet 3"/>
    <w:basedOn w:val="List3"/>
    <w:rsid w:val="00D93E83"/>
    <w:pPr>
      <w:numPr>
        <w:numId w:val="15"/>
      </w:numPr>
      <w:tabs>
        <w:tab w:val="clear" w:pos="1021"/>
      </w:tabs>
      <w:ind w:left="1037" w:hanging="357"/>
    </w:pPr>
  </w:style>
  <w:style w:type="paragraph" w:styleId="ListBullet4">
    <w:name w:val="List Bullet 4"/>
    <w:basedOn w:val="List4"/>
    <w:rsid w:val="00D93E83"/>
    <w:pPr>
      <w:numPr>
        <w:numId w:val="3"/>
      </w:numPr>
    </w:pPr>
  </w:style>
  <w:style w:type="paragraph" w:styleId="ListBullet5">
    <w:name w:val="List Bullet 5"/>
    <w:basedOn w:val="List5"/>
    <w:rsid w:val="00D93E83"/>
    <w:pPr>
      <w:numPr>
        <w:numId w:val="4"/>
      </w:numPr>
    </w:pPr>
  </w:style>
  <w:style w:type="paragraph" w:styleId="ListContinue2">
    <w:name w:val="List Continue 2"/>
    <w:basedOn w:val="List2"/>
    <w:rsid w:val="00D93E83"/>
    <w:pPr>
      <w:ind w:firstLine="0"/>
    </w:pPr>
  </w:style>
  <w:style w:type="paragraph" w:styleId="ListContinue3">
    <w:name w:val="List Continue 3"/>
    <w:basedOn w:val="List3"/>
    <w:rsid w:val="00D93E83"/>
    <w:pPr>
      <w:ind w:left="1021" w:firstLine="0"/>
    </w:pPr>
  </w:style>
  <w:style w:type="paragraph" w:styleId="ListContinue4">
    <w:name w:val="List Continue 4"/>
    <w:basedOn w:val="List4"/>
    <w:rsid w:val="00D93E83"/>
    <w:pPr>
      <w:ind w:firstLine="0"/>
    </w:pPr>
  </w:style>
  <w:style w:type="paragraph" w:styleId="ListContinue5">
    <w:name w:val="List Continue 5"/>
    <w:basedOn w:val="List5"/>
    <w:rsid w:val="00D93E83"/>
    <w:pPr>
      <w:ind w:firstLine="0"/>
    </w:pPr>
  </w:style>
  <w:style w:type="paragraph" w:styleId="ListNumber3">
    <w:name w:val="List Number 3"/>
    <w:basedOn w:val="List3"/>
    <w:rsid w:val="00D93E83"/>
    <w:pPr>
      <w:numPr>
        <w:numId w:val="5"/>
      </w:numPr>
    </w:pPr>
  </w:style>
  <w:style w:type="paragraph" w:styleId="ListNumber4">
    <w:name w:val="List Number 4"/>
    <w:basedOn w:val="List4"/>
    <w:rsid w:val="00D93E83"/>
    <w:pPr>
      <w:numPr>
        <w:numId w:val="6"/>
      </w:numPr>
    </w:pPr>
  </w:style>
  <w:style w:type="paragraph" w:styleId="ListNumber5">
    <w:name w:val="List Number 5"/>
    <w:basedOn w:val="List5"/>
    <w:rsid w:val="00D93E83"/>
    <w:pPr>
      <w:numPr>
        <w:numId w:val="7"/>
      </w:numPr>
    </w:pPr>
  </w:style>
  <w:style w:type="paragraph" w:styleId="BlockText">
    <w:name w:val="Block Text"/>
    <w:basedOn w:val="Normal"/>
    <w:rsid w:val="00D93E83"/>
    <w:pPr>
      <w:spacing w:after="120"/>
      <w:ind w:left="1440" w:right="1440"/>
    </w:pPr>
  </w:style>
  <w:style w:type="character" w:customStyle="1" w:styleId="Subscript">
    <w:name w:val="Subscript"/>
    <w:basedOn w:val="DefaultParagraphFont"/>
    <w:rsid w:val="00D93E83"/>
    <w:rPr>
      <w:sz w:val="16"/>
      <w:vertAlign w:val="subscript"/>
    </w:rPr>
  </w:style>
  <w:style w:type="character" w:customStyle="1" w:styleId="Superscript">
    <w:name w:val="Superscript"/>
    <w:basedOn w:val="DefaultParagraphFont"/>
    <w:rsid w:val="00D93E83"/>
    <w:rPr>
      <w:sz w:val="16"/>
      <w:vertAlign w:val="superscript"/>
    </w:rPr>
  </w:style>
  <w:style w:type="character" w:customStyle="1" w:styleId="Symbols">
    <w:name w:val="Symbols"/>
    <w:basedOn w:val="DefaultParagraphFont"/>
    <w:rsid w:val="00D93E83"/>
    <w:rPr>
      <w:rFonts w:ascii="Symbol" w:hAnsi="Symbol"/>
    </w:rPr>
  </w:style>
  <w:style w:type="character" w:customStyle="1" w:styleId="MenuOptions">
    <w:name w:val="Menu Options"/>
    <w:basedOn w:val="DefaultParagraphFont"/>
    <w:rsid w:val="00D93E83"/>
    <w:rPr>
      <w:rFonts w:ascii="Arial Narrow" w:hAnsi="Arial Narrow"/>
      <w:smallCaps/>
    </w:rPr>
  </w:style>
  <w:style w:type="character" w:customStyle="1" w:styleId="Buttons">
    <w:name w:val="Buttons"/>
    <w:basedOn w:val="DefaultParagraphFont"/>
    <w:rsid w:val="00D93E83"/>
    <w:rPr>
      <w:b/>
    </w:rPr>
  </w:style>
  <w:style w:type="character" w:customStyle="1" w:styleId="Underlined">
    <w:name w:val="Underlined"/>
    <w:basedOn w:val="DefaultParagraphFont"/>
    <w:rsid w:val="00D93E83"/>
    <w:rPr>
      <w:u w:val="single"/>
    </w:rPr>
  </w:style>
  <w:style w:type="paragraph" w:customStyle="1" w:styleId="TableBodyTextRight">
    <w:name w:val="Table Body Text Right"/>
    <w:basedOn w:val="TableBodyText"/>
    <w:rsid w:val="00D93E83"/>
    <w:pPr>
      <w:widowControl w:val="0"/>
      <w:autoSpaceDE w:val="0"/>
      <w:autoSpaceDN w:val="0"/>
      <w:adjustRightInd w:val="0"/>
      <w:jc w:val="right"/>
    </w:pPr>
    <w:rPr>
      <w:rFonts w:cs="Arial"/>
      <w:szCs w:val="18"/>
    </w:rPr>
  </w:style>
  <w:style w:type="paragraph" w:customStyle="1" w:styleId="CopyrightText">
    <w:name w:val="Copyright Text"/>
    <w:basedOn w:val="BodyText"/>
    <w:rsid w:val="00D93E83"/>
    <w:rPr>
      <w:sz w:val="18"/>
    </w:rPr>
  </w:style>
  <w:style w:type="paragraph" w:customStyle="1" w:styleId="BodySmallRight">
    <w:name w:val="Body Small Right"/>
    <w:basedOn w:val="BodyTextRight"/>
    <w:rsid w:val="00D93E83"/>
    <w:rPr>
      <w:sz w:val="18"/>
      <w:szCs w:val="18"/>
    </w:rPr>
  </w:style>
  <w:style w:type="paragraph" w:customStyle="1" w:styleId="MarginEdition">
    <w:name w:val="Margin Edition"/>
    <w:basedOn w:val="MarginNote"/>
    <w:rsid w:val="00D93E83"/>
    <w:pPr>
      <w:spacing w:before="0" w:after="0"/>
    </w:pPr>
    <w:rPr>
      <w:rFonts w:ascii="Times New Roman" w:hAnsi="Times New Roman"/>
      <w:color w:val="999999"/>
    </w:rPr>
  </w:style>
  <w:style w:type="paragraph" w:customStyle="1" w:styleId="Spacer">
    <w:name w:val="Spacer"/>
    <w:basedOn w:val="Normal"/>
    <w:rsid w:val="00D93E83"/>
    <w:rPr>
      <w:sz w:val="2"/>
      <w:szCs w:val="2"/>
    </w:rPr>
  </w:style>
  <w:style w:type="character" w:customStyle="1" w:styleId="Small">
    <w:name w:val="Small"/>
    <w:basedOn w:val="DefaultParagraphFont"/>
    <w:rsid w:val="00D93E83"/>
    <w:rPr>
      <w:sz w:val="16"/>
    </w:rPr>
  </w:style>
  <w:style w:type="paragraph" w:customStyle="1" w:styleId="WideTable">
    <w:name w:val="Wide Table"/>
    <w:basedOn w:val="Normal"/>
    <w:rsid w:val="00D93E83"/>
    <w:pPr>
      <w:ind w:left="-1418"/>
    </w:pPr>
    <w:rPr>
      <w:sz w:val="2"/>
      <w:szCs w:val="2"/>
    </w:rPr>
  </w:style>
  <w:style w:type="character" w:styleId="PageNumber">
    <w:name w:val="page number"/>
    <w:basedOn w:val="DefaultParagraphFont"/>
    <w:rsid w:val="00D93E83"/>
  </w:style>
  <w:style w:type="paragraph" w:styleId="Quote">
    <w:name w:val="Quote"/>
    <w:basedOn w:val="Heading1"/>
    <w:link w:val="QuoteChar"/>
    <w:qFormat/>
    <w:rsid w:val="00D93E83"/>
    <w:rPr>
      <w:b w:val="0"/>
      <w:sz w:val="72"/>
      <w:szCs w:val="72"/>
      <w:lang w:val="en-NZ"/>
    </w:rPr>
  </w:style>
  <w:style w:type="character" w:customStyle="1" w:styleId="QuoteChar">
    <w:name w:val="Quote Char"/>
    <w:basedOn w:val="DefaultParagraphFont"/>
    <w:link w:val="Quote"/>
    <w:rsid w:val="00D93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E83"/>
    <w:pPr>
      <w:pageBreakBefore/>
    </w:pPr>
  </w:style>
  <w:style w:type="paragraph" w:customStyle="1" w:styleId="Border">
    <w:name w:val="Border"/>
    <w:basedOn w:val="Normal"/>
    <w:qFormat/>
    <w:rsid w:val="00D93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E83"/>
    <w:rPr>
      <w:b/>
      <w:bCs/>
      <w:i/>
      <w:iCs/>
      <w:color w:val="auto"/>
    </w:rPr>
  </w:style>
  <w:style w:type="paragraph" w:styleId="IntenseQuote">
    <w:name w:val="Intense Quote"/>
    <w:basedOn w:val="Normal"/>
    <w:next w:val="Normal"/>
    <w:link w:val="IntenseQuoteChar"/>
    <w:uiPriority w:val="30"/>
    <w:qFormat/>
    <w:rsid w:val="00D93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E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3E83"/>
    <w:rPr>
      <w:smallCaps/>
      <w:color w:val="auto"/>
      <w:u w:val="single"/>
    </w:rPr>
  </w:style>
  <w:style w:type="character" w:styleId="IntenseReference">
    <w:name w:val="Intense Reference"/>
    <w:basedOn w:val="DefaultParagraphFont"/>
    <w:uiPriority w:val="32"/>
    <w:qFormat/>
    <w:rsid w:val="00D93E83"/>
    <w:rPr>
      <w:b/>
      <w:bCs/>
      <w:smallCaps/>
      <w:color w:val="auto"/>
      <w:spacing w:val="5"/>
      <w:u w:val="single"/>
    </w:rPr>
  </w:style>
  <w:style w:type="paragraph" w:customStyle="1" w:styleId="2ColumnHeading">
    <w:name w:val="2Column Heading"/>
    <w:basedOn w:val="BodyText"/>
    <w:qFormat/>
    <w:rsid w:val="00D93E83"/>
    <w:pPr>
      <w:spacing w:after="60"/>
      <w:ind w:left="-2268"/>
    </w:pPr>
    <w:rPr>
      <w:b/>
    </w:rPr>
  </w:style>
  <w:style w:type="paragraph" w:customStyle="1" w:styleId="Heading1TOC">
    <w:name w:val="Heading1 TOC"/>
    <w:basedOn w:val="Normal"/>
    <w:qFormat/>
    <w:rsid w:val="00D93E83"/>
    <w:pPr>
      <w:spacing w:before="240" w:after="120"/>
    </w:pPr>
    <w:rPr>
      <w:rFonts w:ascii="Times New Roman" w:hAnsi="Times New Roman"/>
      <w:b/>
      <w:sz w:val="32"/>
    </w:rPr>
  </w:style>
  <w:style w:type="paragraph" w:customStyle="1" w:styleId="Heading2TOC">
    <w:name w:val="Heading2 TOC"/>
    <w:basedOn w:val="Normal"/>
    <w:qFormat/>
    <w:rsid w:val="00D93E83"/>
    <w:pPr>
      <w:spacing w:before="240" w:after="60"/>
    </w:pPr>
    <w:rPr>
      <w:rFonts w:ascii="Times New Roman" w:hAnsi="Times New Roman"/>
      <w:b/>
      <w:sz w:val="28"/>
    </w:rPr>
  </w:style>
  <w:style w:type="character" w:customStyle="1" w:styleId="Underline">
    <w:name w:val="Underline"/>
    <w:basedOn w:val="DefaultParagraphFont"/>
    <w:qFormat/>
    <w:rsid w:val="00D93E83"/>
    <w:rPr>
      <w:u w:val="single"/>
    </w:rPr>
  </w:style>
  <w:style w:type="character" w:customStyle="1" w:styleId="BoldandItalics">
    <w:name w:val="Bold and Italics"/>
    <w:qFormat/>
    <w:rsid w:val="00D93E83"/>
    <w:rPr>
      <w:b/>
      <w:i/>
      <w:u w:val="none"/>
    </w:rPr>
  </w:style>
  <w:style w:type="paragraph" w:styleId="BalloonText">
    <w:name w:val="Balloon Text"/>
    <w:basedOn w:val="Normal"/>
    <w:link w:val="BalloonTextChar"/>
    <w:rsid w:val="00D93E83"/>
    <w:rPr>
      <w:rFonts w:ascii="Tahoma" w:hAnsi="Tahoma" w:cs="Tahoma"/>
      <w:sz w:val="16"/>
      <w:szCs w:val="16"/>
    </w:rPr>
  </w:style>
  <w:style w:type="character" w:customStyle="1" w:styleId="BalloonTextChar">
    <w:name w:val="Balloon Text Char"/>
    <w:basedOn w:val="DefaultParagraphFont"/>
    <w:link w:val="BalloonText"/>
    <w:rsid w:val="00D93E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3E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3E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3E83"/>
    <w:rPr>
      <w:b/>
      <w:color w:val="660033"/>
      <w:spacing w:val="0"/>
    </w:rPr>
  </w:style>
  <w:style w:type="paragraph" w:customStyle="1" w:styleId="Nameditemlist">
    <w:name w:val="Named item list"/>
    <w:basedOn w:val="BodyText"/>
    <w:qFormat/>
    <w:rsid w:val="00D93E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1368</Words>
  <Characters>8404</Characters>
  <Application>Microsoft Office Word</Application>
  <DocSecurity>0</DocSecurity>
  <Lines>313</Lines>
  <Paragraphs>155</Paragraphs>
  <ScaleCrop>false</ScaleCrop>
  <Company>Author-it Software Corporation Ltd.</Company>
  <LinksUpToDate>false</LinksUpToDate>
  <CharactersWithSpaces>9712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CHCFIN501A Identify and apply technical information to assist clients with financial issues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2012-10-05T17:32:00Z</dcterms:created>
  <dcterms:modified xsi:type="dcterms:W3CDTF">2012-10-05T17:32:00Z</dcterms:modified>
</cp:coreProperties>
</file>