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93A" w:rsidP="0083193A">
      <w:pPr>
        <w:pStyle w:val="Title"/>
      </w:pPr>
      <w:r>
        <w:fldChar w:fldCharType="begin"/>
      </w:r>
      <w:r>
        <w:instrText xml:space="preserve"> TITLE   \* MERGEFORMAT </w:instrText>
      </w:r>
      <w:r>
        <w:fldChar w:fldCharType="separate"/>
      </w:r>
      <w:r>
        <w:t>CHCEDS419A Support flexible learning in an education environment</w:t>
      </w:r>
      <w:r>
        <w:fldChar w:fldCharType="end"/>
      </w:r>
    </w:p>
    <w:p w:rsidR="0083193A" w:rsidP="0083193A">
      <w:pPr>
        <w:pStyle w:val="Version"/>
        <w:sectPr w:rsidSect="00702B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B71" w:rsidP="00702B71">
      <w:pPr>
        <w:pStyle w:val="SuperHeading"/>
      </w:pPr>
      <w:r w:rsidRPr="00702B71">
        <w:t>CHCEDS419A Support flexible learning in an education environment</w:t>
      </w:r>
    </w:p>
    <w:p w:rsidR="00000000" w:rsidRPr="00702B71" w:rsidP="00702B71">
      <w:pPr>
        <w:pStyle w:val="Heading1"/>
      </w:pPr>
      <w:bookmarkStart w:id="1" w:name="O_269090"/>
      <w:bookmarkEnd w:id="1"/>
      <w:r w:rsidRPr="00702B71">
        <w:t>Modification History</w:t>
      </w:r>
    </w:p>
    <w:p w:rsidR="00000000" w:rsidRPr="00702B71" w:rsidP="00702B71">
      <w:pPr>
        <w:pStyle w:val="BodyText"/>
      </w:pPr>
      <w:r w:rsidRPr="00702B71">
        <w:t>Not Applicable</w:t>
      </w:r>
    </w:p>
    <w:p w:rsidR="00000000" w:rsidRPr="00702B71" w:rsidP="00702B71">
      <w:pPr>
        <w:pStyle w:val="AllowPageBreak"/>
      </w:pPr>
    </w:p>
    <w:p w:rsidR="00000000" w:rsidRPr="00702B71" w:rsidP="00702B71">
      <w:pPr>
        <w:pStyle w:val="Heading1"/>
      </w:pPr>
      <w:bookmarkStart w:id="2" w:name="O_195703"/>
      <w:bookmarkEnd w:id="2"/>
      <w:r w:rsidRPr="00702B71">
        <w:t>Unit Descriptor</w:t>
      </w:r>
    </w:p>
    <w:tbl>
      <w:tblPr>
        <w:tblW w:w="0" w:type="auto"/>
        <w:tblLayout w:type="fixed"/>
        <w:tblCellMar>
          <w:left w:w="62" w:type="dxa"/>
          <w:right w:w="62" w:type="dxa"/>
        </w:tblCellMar>
        <w:tblLook w:val="0000"/>
      </w:tblPr>
      <w:tblGrid>
        <w:gridCol w:w="3339"/>
        <w:gridCol w:w="5217"/>
      </w:tblGrid>
      <w:tr w:rsidTr="0083193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This unit deals with the skills and knowledge required by education support workers to organis</w:t>
            </w:r>
            <w:r w:rsidRPr="00702B71">
              <w:t>e, sustain and supervise learning activities for students accessing flexible learning programs</w:t>
            </w:r>
          </w:p>
        </w:tc>
      </w:tr>
    </w:tbl>
    <w:p w:rsidR="0083193A" w:rsidP="00702B71">
      <w:pPr>
        <w:pStyle w:val="BodyText"/>
      </w:pPr>
    </w:p>
    <w:p w:rsidR="0083193A" w:rsidP="00702B71">
      <w:pPr>
        <w:pStyle w:val="BodyText"/>
      </w:pPr>
    </w:p>
    <w:p w:rsidR="00000000" w:rsidRPr="00702B71" w:rsidP="00702B71">
      <w:pPr>
        <w:pStyle w:val="Heading1"/>
      </w:pPr>
      <w:bookmarkStart w:id="3" w:name="O_195705"/>
      <w:bookmarkEnd w:id="3"/>
      <w:r w:rsidRPr="00702B71">
        <w:t>Application of the Unit</w:t>
      </w:r>
    </w:p>
    <w:tbl>
      <w:tblPr>
        <w:tblW w:w="0" w:type="auto"/>
        <w:tblLayout w:type="fixed"/>
        <w:tblCellMar>
          <w:left w:w="62" w:type="dxa"/>
          <w:right w:w="62" w:type="dxa"/>
        </w:tblCellMar>
        <w:tblLook w:val="0000"/>
      </w:tblPr>
      <w:tblGrid>
        <w:gridCol w:w="3347"/>
        <w:gridCol w:w="5209"/>
      </w:tblGrid>
      <w:tr w:rsidTr="0083193A">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 xml:space="preserve">This unit is intended for support of flexible </w:t>
            </w:r>
            <w:r w:rsidRPr="00702B71">
              <w:t>learning including distance education, on line learning and community based flexible learning programs</w:t>
            </w:r>
          </w:p>
          <w:p w:rsidR="00000000" w:rsidRPr="00702B71" w:rsidP="00702B71">
            <w:pPr>
              <w:pStyle w:val="BodyText"/>
            </w:pPr>
            <w:r w:rsidRPr="00702B71">
              <w:t>The unit applies to the education worker who is required to set up and manage the flexible learning environment with appropriate guidance, support and su</w:t>
            </w:r>
            <w:r w:rsidRPr="00702B71">
              <w:t>pervision by a nominated teacher or other education professional</w:t>
            </w:r>
          </w:p>
        </w:tc>
      </w:tr>
    </w:tbl>
    <w:p w:rsidR="0083193A" w:rsidP="00702B71">
      <w:pPr>
        <w:pStyle w:val="BodyText"/>
      </w:pPr>
    </w:p>
    <w:p w:rsidR="0083193A" w:rsidP="00702B71">
      <w:pPr>
        <w:pStyle w:val="BodyText"/>
      </w:pPr>
    </w:p>
    <w:p w:rsidR="00000000" w:rsidRPr="00702B71" w:rsidP="00702B71">
      <w:pPr>
        <w:pStyle w:val="Heading1"/>
      </w:pPr>
      <w:bookmarkStart w:id="4" w:name="O_277350"/>
      <w:bookmarkEnd w:id="4"/>
      <w:r w:rsidRPr="00702B71">
        <w:t>Licensing/Regulatory Information</w:t>
      </w:r>
    </w:p>
    <w:p w:rsidR="00000000" w:rsidRPr="00702B71" w:rsidP="00702B71">
      <w:pPr>
        <w:pStyle w:val="BodyText"/>
      </w:pPr>
      <w:r w:rsidRPr="00702B71">
        <w:t>Not Applicable</w:t>
      </w:r>
    </w:p>
    <w:p w:rsidR="00000000" w:rsidRPr="00702B71" w:rsidP="00702B71">
      <w:pPr>
        <w:pStyle w:val="AllowPageBreak"/>
      </w:pPr>
    </w:p>
    <w:p w:rsidR="00000000" w:rsidRPr="00702B71" w:rsidP="00702B71">
      <w:pPr>
        <w:pStyle w:val="Heading1"/>
      </w:pPr>
      <w:bookmarkStart w:id="5" w:name="O_283202"/>
      <w:bookmarkEnd w:id="5"/>
      <w:r w:rsidRPr="00702B71">
        <w:t>Pre-Requisites</w:t>
      </w:r>
    </w:p>
    <w:p w:rsidR="00000000" w:rsidRPr="00702B71" w:rsidP="00702B71">
      <w:pPr>
        <w:pStyle w:val="BodyText"/>
      </w:pPr>
      <w:r w:rsidRPr="00702B71">
        <w:t>Not Applicable</w:t>
      </w:r>
    </w:p>
    <w:p w:rsidR="00000000" w:rsidRPr="00702B71" w:rsidP="00702B71">
      <w:pPr>
        <w:pStyle w:val="AllowPageBreak"/>
      </w:pPr>
    </w:p>
    <w:p w:rsidR="00000000" w:rsidRPr="00702B71" w:rsidP="00702B71">
      <w:pPr>
        <w:pStyle w:val="Heading1"/>
      </w:pPr>
      <w:bookmarkStart w:id="6" w:name="O_195704"/>
      <w:bookmarkEnd w:id="6"/>
      <w:r w:rsidRPr="00702B71">
        <w:t>Employability Skills Information</w:t>
      </w:r>
    </w:p>
    <w:tbl>
      <w:tblPr>
        <w:tblW w:w="0" w:type="auto"/>
        <w:tblLayout w:type="fixed"/>
        <w:tblCellMar>
          <w:left w:w="62" w:type="dxa"/>
          <w:right w:w="62" w:type="dxa"/>
        </w:tblCellMar>
        <w:tblLook w:val="0000"/>
      </w:tblPr>
      <w:tblGrid>
        <w:gridCol w:w="3320"/>
        <w:gridCol w:w="5236"/>
      </w:tblGrid>
      <w:tr w:rsidTr="0083193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This unit contains Employability Skills</w:t>
            </w:r>
          </w:p>
        </w:tc>
      </w:tr>
    </w:tbl>
    <w:p w:rsidR="0083193A" w:rsidP="00702B71">
      <w:pPr>
        <w:pStyle w:val="BodyText"/>
      </w:pPr>
    </w:p>
    <w:p w:rsidR="0083193A" w:rsidP="00702B71">
      <w:pPr>
        <w:pStyle w:val="BodyText"/>
      </w:pPr>
    </w:p>
    <w:p w:rsidR="00000000" w:rsidRPr="00702B71" w:rsidP="00702B71">
      <w:pPr>
        <w:pStyle w:val="Heading1"/>
      </w:pPr>
      <w:bookmarkStart w:id="7" w:name="O_287136"/>
      <w:bookmarkEnd w:id="7"/>
      <w:r w:rsidRPr="00702B71">
        <w:t>Elements and Performance Criteria Pre-Content</w:t>
      </w:r>
    </w:p>
    <w:tbl>
      <w:tblPr>
        <w:tblW w:w="0" w:type="auto"/>
        <w:tblLayout w:type="fixed"/>
        <w:tblCellMar>
          <w:left w:w="62" w:type="dxa"/>
          <w:right w:w="62" w:type="dxa"/>
        </w:tblCellMar>
        <w:tblLook w:val="0000"/>
      </w:tblPr>
      <w:tblGrid>
        <w:gridCol w:w="3369"/>
        <w:gridCol w:w="5702"/>
      </w:tblGrid>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The Performance Criteria specify the level of performance required to demonstrate achi</w:t>
            </w:r>
            <w:r w:rsidRPr="00702B71">
              <w:t xml:space="preserve">evement of the Element. Terms in italics are elaborated in the Range Statement. </w:t>
            </w:r>
          </w:p>
        </w:tc>
      </w:tr>
    </w:tbl>
    <w:p w:rsidR="00000000" w:rsidRPr="00702B71" w:rsidP="00702B71">
      <w:pPr>
        <w:pStyle w:val="BodyText"/>
      </w:pPr>
    </w:p>
    <w:p w:rsidR="00000000" w:rsidRPr="00702B71" w:rsidP="00702B71">
      <w:pPr>
        <w:pStyle w:val="AllowPageBreak"/>
      </w:pPr>
    </w:p>
    <w:p w:rsidR="00000000" w:rsidRPr="00702B71" w:rsidP="00702B71">
      <w:pPr>
        <w:pStyle w:val="Heading1"/>
      </w:pPr>
      <w:bookmarkStart w:id="8" w:name="O_233803"/>
      <w:bookmarkEnd w:id="8"/>
      <w:r w:rsidRPr="00702B71">
        <w:t>Elements and Performance Criteria</w:t>
      </w:r>
    </w:p>
    <w:tbl>
      <w:tblPr>
        <w:tblW w:w="0" w:type="auto"/>
        <w:tblLayout w:type="fixed"/>
        <w:tblCellMar>
          <w:left w:w="62" w:type="dxa"/>
          <w:right w:w="62" w:type="dxa"/>
        </w:tblCellMar>
        <w:tblLook w:val="0000"/>
      </w:tblPr>
      <w:tblGrid>
        <w:gridCol w:w="3369"/>
        <w:gridCol w:w="5702"/>
      </w:tblGrid>
      <w:tr w:rsidTr="0083193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PERFORMANCE CRITERIA</w:t>
            </w: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B71">
            <w:pPr>
              <w:pStyle w:val="List"/>
              <w:rPr>
                <w:lang w:val="en-NZ"/>
              </w:rPr>
            </w:pPr>
            <w:r w:rsidRPr="00702B71">
              <w:t>1.</w:t>
            </w:r>
            <w:r w:rsidRPr="00702B71">
              <w:tab/>
              <w:t>Establish the learning environment</w:t>
            </w:r>
          </w:p>
        </w:tc>
        <w:tc>
          <w:tcPr>
            <w:tcW w:w="570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1.1</w:t>
            </w:r>
            <w:r w:rsidRPr="00702B71">
              <w:tab/>
              <w:t xml:space="preserve">Access </w:t>
            </w:r>
            <w:r w:rsidRPr="00702B71">
              <w:rPr>
                <w:rStyle w:val="Emphasis"/>
              </w:rPr>
              <w:t>flexible learning programs</w:t>
            </w:r>
            <w:r w:rsidRPr="00702B71">
              <w:t xml:space="preserve"> to determine learning outcomes or objectives to be met in consultation with supervisor</w:t>
            </w:r>
          </w:p>
          <w:p w:rsidR="00000000" w:rsidRPr="00702B71" w:rsidP="00702B71">
            <w:pPr>
              <w:pStyle w:val="BodyText"/>
            </w:pPr>
            <w:r w:rsidRPr="00702B71">
              <w:t>1.2</w:t>
            </w:r>
            <w:r w:rsidRPr="00702B71">
              <w:tab/>
              <w:t xml:space="preserve">Design the learning space to meet access, health and safety and supervision criteria in accordance with the education organisation's </w:t>
            </w:r>
            <w:r w:rsidRPr="00702B71">
              <w:rPr>
                <w:rStyle w:val="Emphasis"/>
              </w:rPr>
              <w:t>flexible delivery policy and pr</w:t>
            </w:r>
            <w:r w:rsidRPr="00702B71">
              <w:rPr>
                <w:rStyle w:val="Emphasis"/>
              </w:rPr>
              <w:t>ocedures</w:t>
            </w:r>
          </w:p>
          <w:p w:rsidR="00000000" w:rsidRPr="00702B71" w:rsidP="00702B71">
            <w:pPr>
              <w:pStyle w:val="BodyText"/>
            </w:pPr>
            <w:r w:rsidRPr="00702B71">
              <w:t>1.3</w:t>
            </w:r>
            <w:r w:rsidRPr="00702B71">
              <w:tab/>
              <w:t>Arrange work spaces to encourage focused participation of students in flexible learning</w:t>
            </w:r>
          </w:p>
          <w:p w:rsidR="00000000" w:rsidRPr="00702B71" w:rsidP="00702B71">
            <w:pPr>
              <w:pStyle w:val="BodyText"/>
            </w:pPr>
            <w:r w:rsidRPr="00702B71">
              <w:t>1.4</w:t>
            </w:r>
            <w:r w:rsidRPr="00702B71">
              <w:tab/>
              <w:t>Establish the range of activities, resources and any requirements for assessment with the learner and the course facilitator</w:t>
            </w:r>
          </w:p>
          <w:p w:rsidR="00000000" w:rsidRPr="00702B71" w:rsidP="00702B71">
            <w:pPr>
              <w:pStyle w:val="BodyText"/>
            </w:pPr>
            <w:r w:rsidRPr="00702B71">
              <w:t>1.5</w:t>
            </w:r>
            <w:r w:rsidRPr="00702B71">
              <w:tab/>
              <w:t>Obtain and make availa</w:t>
            </w:r>
            <w:r w:rsidRPr="00702B71">
              <w:t xml:space="preserve">ble </w:t>
            </w:r>
            <w:r w:rsidRPr="00702B71">
              <w:rPr>
                <w:rStyle w:val="Emphasis"/>
              </w:rPr>
              <w:t>resources</w:t>
            </w:r>
            <w:r w:rsidRPr="00702B71">
              <w:t xml:space="preserve"> for students as required</w:t>
            </w:r>
          </w:p>
          <w:p w:rsidR="00000000" w:rsidRPr="00702B71" w:rsidP="00702B71">
            <w:pPr>
              <w:pStyle w:val="BodyText"/>
            </w:pPr>
            <w:r w:rsidRPr="00702B71">
              <w:t>1.6</w:t>
            </w:r>
            <w:r w:rsidRPr="00702B71">
              <w:tab/>
              <w:t xml:space="preserve">Confirm, where appropriate, </w:t>
            </w:r>
            <w:r w:rsidRPr="00702B71">
              <w:rPr>
                <w:rStyle w:val="Emphasis"/>
              </w:rPr>
              <w:t>technical requirements</w:t>
            </w:r>
            <w:r w:rsidRPr="00702B71">
              <w:t xml:space="preserve"> for the flexible learning environment</w:t>
            </w:r>
          </w:p>
          <w:p w:rsidR="00000000" w:rsidP="00702B71">
            <w:pPr>
              <w:pStyle w:val="BodyText"/>
              <w:rPr>
                <w:lang w:val="en-NZ"/>
              </w:rPr>
            </w:pPr>
            <w:r w:rsidRPr="00702B71">
              <w:t>1.7</w:t>
            </w:r>
            <w:r w:rsidRPr="00702B71">
              <w:tab/>
              <w:t xml:space="preserve">Identify and organise </w:t>
            </w:r>
            <w:r w:rsidRPr="00702B71">
              <w:rPr>
                <w:rStyle w:val="Emphasis"/>
              </w:rPr>
              <w:t>specific technical support</w:t>
            </w:r>
            <w:r w:rsidRPr="00702B71">
              <w:t xml:space="preserve"> </w:t>
            </w:r>
            <w:r w:rsidRPr="00702B71">
              <w:rPr>
                <w:rStyle w:val="Emphasis"/>
              </w:rPr>
              <w:t>needs and mechanisms</w:t>
            </w:r>
            <w:r w:rsidRPr="00702B71">
              <w:t xml:space="preserve"> for flexible delivery</w:t>
            </w: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B71">
            <w:pPr>
              <w:pStyle w:val="List"/>
              <w:rPr>
                <w:lang w:val="en-NZ"/>
              </w:rPr>
            </w:pPr>
            <w:r w:rsidRPr="00702B71">
              <w:t>2.</w:t>
            </w:r>
            <w:r w:rsidRPr="00702B71">
              <w:tab/>
            </w:r>
            <w:r w:rsidRPr="00702B71">
              <w:t>Facilitate flexible learning for students</w:t>
            </w:r>
          </w:p>
        </w:tc>
        <w:tc>
          <w:tcPr>
            <w:tcW w:w="570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2.1</w:t>
            </w:r>
            <w:r w:rsidRPr="00702B71">
              <w:tab/>
              <w:t xml:space="preserve">Develop </w:t>
            </w:r>
            <w:r w:rsidRPr="00702B71">
              <w:rPr>
                <w:rStyle w:val="Emphasis"/>
              </w:rPr>
              <w:t>flexible learning protocols</w:t>
            </w:r>
            <w:r w:rsidRPr="00702B71">
              <w:t xml:space="preserve"> in consultation with the supervisor and in accordance with the organisations </w:t>
            </w:r>
            <w:r w:rsidRPr="00702B71">
              <w:rPr>
                <w:rStyle w:val="Emphasis"/>
              </w:rPr>
              <w:t>principles of practice</w:t>
            </w:r>
          </w:p>
          <w:p w:rsidR="00000000" w:rsidRPr="00702B71" w:rsidP="00702B71">
            <w:pPr>
              <w:pStyle w:val="BodyText"/>
            </w:pPr>
            <w:r w:rsidRPr="00702B71">
              <w:t>2.2</w:t>
            </w:r>
            <w:r w:rsidRPr="00702B71">
              <w:tab/>
              <w:t>Conduct inductions to the flexible learning environment including clar</w:t>
            </w:r>
            <w:r w:rsidRPr="00702B71">
              <w:t>ification and agreement of the objectives and protocols</w:t>
            </w:r>
          </w:p>
          <w:p w:rsidR="00000000" w:rsidRPr="00702B71" w:rsidP="00702B71">
            <w:pPr>
              <w:pStyle w:val="BodyText"/>
            </w:pPr>
            <w:r w:rsidRPr="00702B71">
              <w:t>2.3</w:t>
            </w:r>
            <w:r w:rsidRPr="00702B71">
              <w:tab/>
              <w:t xml:space="preserve">Provide </w:t>
            </w:r>
            <w:r w:rsidRPr="00702B71">
              <w:rPr>
                <w:rStyle w:val="Emphasis"/>
              </w:rPr>
              <w:t>technical and personal</w:t>
            </w:r>
            <w:r w:rsidRPr="00702B71">
              <w:t xml:space="preserve"> </w:t>
            </w:r>
            <w:r w:rsidRPr="00702B71">
              <w:rPr>
                <w:rStyle w:val="Emphasis"/>
              </w:rPr>
              <w:t>support</w:t>
            </w:r>
            <w:r w:rsidRPr="00702B71">
              <w:t xml:space="preserve"> while students are engaged in flexible learning activities</w:t>
            </w:r>
          </w:p>
          <w:p w:rsidR="00000000" w:rsidP="00702B71">
            <w:pPr>
              <w:pStyle w:val="BodyText"/>
              <w:rPr>
                <w:lang w:val="en-NZ"/>
              </w:rPr>
            </w:pPr>
            <w:r w:rsidRPr="00702B71">
              <w:t>2.4</w:t>
            </w:r>
            <w:r w:rsidRPr="00702B71">
              <w:tab/>
              <w:t>Establish relationships that support inclusiveness, acknowledge diversity and encourages a pos</w:t>
            </w:r>
            <w:r w:rsidRPr="00702B71">
              <w:t>itive learning environment</w:t>
            </w: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B71">
            <w:pPr>
              <w:pStyle w:val="List"/>
              <w:rPr>
                <w:lang w:val="en-NZ"/>
              </w:rPr>
            </w:pPr>
            <w:r w:rsidRPr="00702B71">
              <w:t>3.</w:t>
            </w:r>
            <w:r w:rsidRPr="00702B71">
              <w:tab/>
              <w:t>Monitor and review flexible learning support</w:t>
            </w:r>
          </w:p>
        </w:tc>
        <w:tc>
          <w:tcPr>
            <w:tcW w:w="570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t>3.1</w:t>
            </w:r>
            <w:r w:rsidRPr="00702B71">
              <w:tab/>
              <w:t>Monitor learner progress and report any identified issues to the supervisor</w:t>
            </w:r>
          </w:p>
          <w:p w:rsidR="00000000" w:rsidRPr="00702B71" w:rsidP="00702B71">
            <w:pPr>
              <w:pStyle w:val="BodyText"/>
            </w:pPr>
            <w:r w:rsidRPr="00702B71">
              <w:t>3.2</w:t>
            </w:r>
            <w:r w:rsidRPr="00702B71">
              <w:tab/>
              <w:t>Provide support and guidance within and outside the learning environment</w:t>
            </w:r>
          </w:p>
          <w:p w:rsidR="00000000" w:rsidRPr="00702B71" w:rsidP="00702B71">
            <w:pPr>
              <w:pStyle w:val="BodyText"/>
            </w:pPr>
            <w:r w:rsidRPr="00702B71">
              <w:t>3.3</w:t>
            </w:r>
            <w:r w:rsidRPr="00702B71">
              <w:tab/>
              <w:t>Monitor students</w:t>
            </w:r>
            <w:r w:rsidRPr="00702B71">
              <w:t xml:space="preserve"> interactions with others and participation in flexible learning activities and make </w:t>
            </w:r>
            <w:r w:rsidRPr="00702B71">
              <w:rPr>
                <w:rStyle w:val="Emphasis"/>
              </w:rPr>
              <w:t>interventions</w:t>
            </w:r>
            <w:r w:rsidRPr="00702B71">
              <w:t>, where necessary, to maintain momentum and engagement</w:t>
            </w:r>
          </w:p>
          <w:p w:rsidR="00000000" w:rsidRPr="00702B71" w:rsidP="00702B71">
            <w:pPr>
              <w:pStyle w:val="BodyText"/>
            </w:pPr>
            <w:r w:rsidRPr="00702B71">
              <w:t>3.4</w:t>
            </w:r>
            <w:r w:rsidRPr="00702B71">
              <w:tab/>
              <w:t xml:space="preserve">Encourage and promote learner collaboration within and outside the learning environment to enhance </w:t>
            </w:r>
            <w:r w:rsidRPr="00702B71">
              <w:t>learning experiences</w:t>
            </w:r>
          </w:p>
          <w:p w:rsidR="00000000" w:rsidRPr="00702B71" w:rsidP="00702B71">
            <w:pPr>
              <w:pStyle w:val="BodyText"/>
            </w:pPr>
            <w:r w:rsidRPr="00702B71">
              <w:t>3.5</w:t>
            </w:r>
            <w:r w:rsidRPr="00702B71">
              <w:tab/>
              <w:t xml:space="preserve">Reflect on own performance as a flexible learning support worker with a focus on continuous improvement </w:t>
            </w:r>
          </w:p>
          <w:p w:rsidR="00000000" w:rsidP="00702B71">
            <w:pPr>
              <w:pStyle w:val="BodyText"/>
              <w:rPr>
                <w:lang w:val="en-NZ"/>
              </w:rPr>
            </w:pPr>
            <w:r w:rsidRPr="00702B71">
              <w:t>3.6</w:t>
            </w:r>
            <w:r w:rsidRPr="00702B71">
              <w:tab/>
              <w:t xml:space="preserve">Identify, discuss with </w:t>
            </w:r>
            <w:r w:rsidRPr="00702B71">
              <w:rPr>
                <w:rStyle w:val="Emphasis"/>
              </w:rPr>
              <w:t>relevant personnel</w:t>
            </w:r>
            <w:r w:rsidRPr="00702B71">
              <w:t>, and document recommendations for improvements to facilitating flexible learning and appropriateness of flexible learning systems, tools and resources</w:t>
            </w:r>
          </w:p>
        </w:tc>
      </w:tr>
      <w:tr w:rsidTr="008319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2B71" w:rsidP="00702B71">
            <w:pPr>
              <w:pStyle w:val="BodyText"/>
            </w:pPr>
          </w:p>
        </w:tc>
      </w:tr>
    </w:tbl>
    <w:p w:rsidR="0083193A" w:rsidP="00702B71">
      <w:pPr>
        <w:pStyle w:val="BodyText"/>
      </w:pPr>
    </w:p>
    <w:p w:rsidR="0083193A" w:rsidP="00702B71">
      <w:pPr>
        <w:pStyle w:val="BodyText"/>
      </w:pPr>
    </w:p>
    <w:p w:rsidR="00000000" w:rsidRPr="00702B71" w:rsidP="00702B71">
      <w:pPr>
        <w:pStyle w:val="Heading1"/>
      </w:pPr>
      <w:bookmarkStart w:id="9" w:name="O_257753"/>
      <w:bookmarkEnd w:id="9"/>
      <w:r w:rsidRPr="00702B71">
        <w:t>Required Skills and Knowledge</w:t>
      </w:r>
    </w:p>
    <w:tbl>
      <w:tblPr>
        <w:tblW w:w="0" w:type="auto"/>
        <w:tblLayout w:type="fixed"/>
        <w:tblCellMar>
          <w:left w:w="62" w:type="dxa"/>
          <w:right w:w="62" w:type="dxa"/>
        </w:tblCellMar>
        <w:tblLook w:val="0000"/>
      </w:tblPr>
      <w:tblGrid>
        <w:gridCol w:w="9072"/>
      </w:tblGrid>
      <w:tr w:rsidTr="0083193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REQUIRED SKILLS AND KNOWLEDGE</w:t>
            </w: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t>This describes the essential skills and knowledge and their level required for this unit.</w:t>
            </w: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rPr>
                <w:rStyle w:val="Emphasis"/>
              </w:rPr>
              <w:t>Essential knowledge</w:t>
            </w:r>
            <w:r w:rsidRPr="00702B71">
              <w:t>:</w:t>
            </w:r>
          </w:p>
          <w:p w:rsidR="00000000" w:rsidRPr="00702B71" w:rsidP="00702B71">
            <w:pPr>
              <w:pStyle w:val="BodyText"/>
            </w:pPr>
            <w:r w:rsidRPr="00702B71">
              <w:t>The candidate must be able to demonstrate essential knowledge required to effectively do the task outlined in elements and performance criteri</w:t>
            </w:r>
            <w:r w:rsidRPr="00702B71">
              <w:t>a of this unit, manage the task and manage contingencies in the context of the identified work role</w:t>
            </w:r>
          </w:p>
          <w:p w:rsidR="00000000" w:rsidRPr="00702B71" w:rsidP="00702B71">
            <w:pPr>
              <w:pStyle w:val="BodyText"/>
            </w:pPr>
            <w:r w:rsidRPr="00702B71">
              <w:t>These include knowledge of:</w:t>
            </w:r>
          </w:p>
          <w:p w:rsidR="00000000" w:rsidRPr="00702B71" w:rsidP="00702B71">
            <w:pPr>
              <w:pStyle w:val="ListBullet"/>
            </w:pPr>
            <w:r w:rsidRPr="00702B71">
              <w:t>Relevant legislation, policies, and standards that regulate education services delivery, occupational health and safety (OHS) a</w:t>
            </w:r>
            <w:r w:rsidRPr="00702B71">
              <w:t>nd anti-discrimination</w:t>
            </w:r>
          </w:p>
          <w:p w:rsidR="00000000" w:rsidRPr="00702B71" w:rsidP="00702B71">
            <w:pPr>
              <w:pStyle w:val="ListBullet"/>
            </w:pPr>
            <w:r w:rsidRPr="00702B71">
              <w:t>Technical knowledge sufficient to distinguish between a technical problem and a content problem and to responds accordingly</w:t>
            </w:r>
          </w:p>
          <w:p w:rsidR="00000000" w:rsidRPr="00702B71" w:rsidP="00702B71">
            <w:pPr>
              <w:pStyle w:val="ListBullet"/>
            </w:pPr>
            <w:r w:rsidRPr="00702B71">
              <w:t>Understanding of flexible learning methodologies and programs</w:t>
            </w:r>
          </w:p>
          <w:p w:rsidR="00000000" w:rsidRPr="00702B71" w:rsidP="00702B71">
            <w:pPr>
              <w:pStyle w:val="ListBullet"/>
            </w:pPr>
            <w:r w:rsidRPr="00702B71">
              <w:t>Principles of Practice and their application to</w:t>
            </w:r>
            <w:r w:rsidRPr="00702B71">
              <w:t xml:space="preserve"> a flexible education environment</w:t>
            </w:r>
          </w:p>
          <w:p w:rsidR="00000000" w:rsidRPr="00702B71" w:rsidP="00702B71">
            <w:pPr>
              <w:pStyle w:val="ListBullet"/>
            </w:pPr>
            <w:r w:rsidRPr="00702B71">
              <w:t>Understanding of issues that may be encountered by students with disabilities</w:t>
            </w:r>
          </w:p>
          <w:p w:rsidR="00000000" w:rsidRPr="00702B71" w:rsidP="00702B71">
            <w:pPr>
              <w:pStyle w:val="ListBullet"/>
            </w:pPr>
            <w:r w:rsidRPr="00702B71">
              <w:t>Learner attitudes to flexible learning</w:t>
            </w:r>
          </w:p>
          <w:p w:rsidR="00000000" w:rsidP="00702B71">
            <w:pPr>
              <w:pStyle w:val="ListBullet"/>
              <w:rPr>
                <w:lang w:val="en-NZ"/>
              </w:rPr>
            </w:pPr>
            <w:r w:rsidRPr="00702B71">
              <w:t>Levels of support appropriate to a variety of learning situations</w:t>
            </w: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B71" w:rsidP="00702B71">
            <w:pPr>
              <w:pStyle w:val="BodyText"/>
            </w:pPr>
            <w:r w:rsidRPr="00702B71">
              <w:rPr>
                <w:rStyle w:val="Emphasis"/>
              </w:rPr>
              <w:t>Essential skills</w:t>
            </w:r>
            <w:r w:rsidRPr="00702B71">
              <w:t>:</w:t>
            </w:r>
          </w:p>
          <w:p w:rsidR="00000000" w:rsidRPr="00702B71" w:rsidP="00702B71">
            <w:pPr>
              <w:pStyle w:val="BodyText"/>
            </w:pPr>
            <w:r w:rsidRPr="00702B71">
              <w:t>It is critical that the candidate demonstrate the ability to:</w:t>
            </w:r>
          </w:p>
          <w:p w:rsidR="00000000" w:rsidRPr="00702B71" w:rsidP="00702B71">
            <w:pPr>
              <w:pStyle w:val="ListBullet"/>
            </w:pPr>
            <w:r w:rsidRPr="00702B71">
              <w:t>Apply relevant OHS guidelines in the learning environment</w:t>
            </w:r>
          </w:p>
          <w:p w:rsidR="00000000" w:rsidRPr="00702B71" w:rsidP="00702B71">
            <w:pPr>
              <w:pStyle w:val="ListBullet"/>
            </w:pPr>
            <w:r w:rsidRPr="00702B71">
              <w:t>Communicate effectively with all stakeholders</w:t>
            </w:r>
          </w:p>
          <w:p w:rsidR="00000000" w:rsidRPr="00702B71" w:rsidP="00702B71">
            <w:pPr>
              <w:pStyle w:val="ListBullet"/>
            </w:pPr>
            <w:r w:rsidRPr="00702B71">
              <w:t>Use interpersonal skills to support students undertaking flexible learning</w:t>
            </w:r>
          </w:p>
          <w:p w:rsidR="00000000" w:rsidRPr="00702B71" w:rsidP="00702B71">
            <w:pPr>
              <w:pStyle w:val="BodyText"/>
            </w:pPr>
          </w:p>
          <w:p w:rsidR="00000000" w:rsidRPr="00702B71" w:rsidP="00702B71">
            <w:pPr>
              <w:pStyle w:val="BodyText"/>
            </w:pPr>
            <w:r w:rsidRPr="00702B71">
              <w:t xml:space="preserve">In addition, </w:t>
            </w:r>
            <w:r w:rsidRPr="00702B71">
              <w:t>the candidate must be able to effectively do the task outlined in elements and performance criteria of this unit, manage the task and manage contingencies in the context of the identified work role</w:t>
            </w:r>
          </w:p>
          <w:p w:rsidR="00000000" w:rsidRPr="00702B71" w:rsidP="00702B71">
            <w:pPr>
              <w:pStyle w:val="BodyText"/>
            </w:pPr>
            <w:r w:rsidRPr="00702B71">
              <w:t>These include the ability to:</w:t>
            </w:r>
          </w:p>
          <w:p w:rsidR="00000000" w:rsidRPr="00702B71" w:rsidP="00702B71">
            <w:pPr>
              <w:pStyle w:val="ListBullet"/>
            </w:pPr>
            <w:r w:rsidRPr="00702B71">
              <w:t>Use language and literacy s</w:t>
            </w:r>
            <w:r w:rsidRPr="00702B71">
              <w:t>kills to effectively communicate with a diverse range of people</w:t>
            </w:r>
          </w:p>
          <w:p w:rsidR="00000000" w:rsidRPr="00702B71" w:rsidP="00702B71">
            <w:pPr>
              <w:pStyle w:val="ListBullet"/>
            </w:pPr>
            <w:r w:rsidRPr="00702B71">
              <w:t>Apply high level organisation skills</w:t>
            </w:r>
          </w:p>
          <w:p w:rsidR="00000000" w:rsidRPr="00702B71" w:rsidP="00702B71">
            <w:pPr>
              <w:pStyle w:val="ListBullet"/>
            </w:pPr>
            <w:r w:rsidRPr="00702B71">
              <w:t xml:space="preserve">Undertake observation and record-keeping </w:t>
            </w:r>
          </w:p>
          <w:p w:rsidR="00000000" w:rsidRPr="00702B71" w:rsidP="00702B71">
            <w:pPr>
              <w:pStyle w:val="ListBullet"/>
            </w:pPr>
            <w:r w:rsidRPr="00702B71">
              <w:t xml:space="preserve">Undertake effective student management </w:t>
            </w:r>
          </w:p>
          <w:p w:rsidR="00000000" w:rsidRPr="00702B71" w:rsidP="00702B71">
            <w:pPr>
              <w:pStyle w:val="ListBullet"/>
            </w:pPr>
            <w:r w:rsidRPr="00702B71">
              <w:t>Support learning across a range of subject areas</w:t>
            </w:r>
          </w:p>
          <w:p w:rsidR="00000000" w:rsidP="00702B71">
            <w:pPr>
              <w:pStyle w:val="ListBullet"/>
              <w:rPr>
                <w:lang w:val="en-NZ"/>
              </w:rPr>
            </w:pPr>
            <w:r w:rsidRPr="00702B71">
              <w:t>Use technical skills required to support and manage diverse equipment needs of flexible learning programs</w:t>
            </w:r>
          </w:p>
        </w:tc>
      </w:tr>
      <w:tr w:rsidTr="008319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B71" w:rsidP="00702B71">
            <w:pPr>
              <w:pStyle w:val="BodyText"/>
            </w:pPr>
          </w:p>
        </w:tc>
      </w:tr>
    </w:tbl>
    <w:p w:rsidR="0083193A" w:rsidP="00702B71">
      <w:pPr>
        <w:pStyle w:val="BodyText"/>
      </w:pPr>
    </w:p>
    <w:p w:rsidR="0083193A" w:rsidP="00702B71">
      <w:pPr>
        <w:pStyle w:val="BodyText"/>
      </w:pPr>
    </w:p>
    <w:p w:rsidR="00000000" w:rsidRPr="00702B71" w:rsidP="00702B71">
      <w:pPr>
        <w:pStyle w:val="Heading1"/>
      </w:pPr>
      <w:bookmarkStart w:id="10" w:name="O_241787"/>
      <w:bookmarkEnd w:id="10"/>
      <w:r w:rsidRPr="00702B71">
        <w:t>Evidence Guide</w:t>
      </w:r>
    </w:p>
    <w:tbl>
      <w:tblPr>
        <w:tblW w:w="0" w:type="auto"/>
        <w:tblLayout w:type="fixed"/>
        <w:tblCellMar>
          <w:left w:w="62" w:type="dxa"/>
          <w:right w:w="62" w:type="dxa"/>
        </w:tblCellMar>
        <w:tblLook w:val="0000"/>
      </w:tblPr>
      <w:tblGrid>
        <w:gridCol w:w="3402"/>
        <w:gridCol w:w="5670"/>
      </w:tblGrid>
      <w:tr w:rsidTr="0083193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EVIDENCE GUIDE</w:t>
            </w:r>
          </w:p>
        </w:tc>
      </w:tr>
      <w:tr w:rsidTr="0083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t>The evidence guide provides advice on assessment and must be read in conjunction wi</w:t>
            </w:r>
            <w:r w:rsidRPr="00702B71">
              <w:t>th the Performance Criteria, Required Skills and Knowledge, the Range Statement and the Assessment Guidelines for this Training Package.</w:t>
            </w:r>
          </w:p>
        </w:tc>
      </w:tr>
      <w:tr w:rsidTr="0083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Critical aspects for assessment and evidence required to demonstrate this unit of competency</w:t>
            </w:r>
            <w:r w:rsidRPr="00702B71">
              <w:t xml:space="preserve">: </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The individual being assessed must provide evidence of specified essential knowledge as well as skills</w:t>
            </w:r>
          </w:p>
          <w:p w:rsidR="00000000" w:rsidRPr="00702B71" w:rsidP="00702B71">
            <w:pPr>
              <w:pStyle w:val="ListBullet"/>
            </w:pPr>
            <w:r w:rsidRPr="00702B71">
              <w:t>This unit is most appropriately assessed in the workplace or in a simulated workplace setting under the normal range of workplace conditions</w:t>
            </w:r>
          </w:p>
          <w:p w:rsidR="00000000" w:rsidP="00702B71">
            <w:pPr>
              <w:pStyle w:val="ListBullet"/>
              <w:rPr>
                <w:lang w:val="en-NZ"/>
              </w:rPr>
            </w:pPr>
            <w:r w:rsidRPr="00702B71">
              <w:t>Assessment must demonstrate consistency of application of skills and knowledge described in this unit of competency</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Access and equity considerations</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All workers in community services should be aware of access, equity and human rights issues in relati</w:t>
            </w:r>
            <w:r w:rsidRPr="00702B71">
              <w:t>on to their own area of work</w:t>
            </w:r>
          </w:p>
          <w:p w:rsidR="00000000" w:rsidRPr="00702B71" w:rsidP="00702B71">
            <w:pPr>
              <w:pStyle w:val="ListBullet"/>
            </w:pPr>
            <w:r w:rsidRPr="00702B71">
              <w:t xml:space="preserve">All workers should develop their ability to work in a culturally diverse environment </w:t>
            </w:r>
          </w:p>
          <w:p w:rsidR="00000000" w:rsidRPr="00702B71" w:rsidP="00702B71">
            <w:pPr>
              <w:pStyle w:val="ListBullet"/>
            </w:pPr>
            <w:r w:rsidRPr="00702B71">
              <w:t>In recognition of particular issues facing Aboriginal and Torres Strait Islander communities, workers should be aware of cultural, historical</w:t>
            </w:r>
            <w:r w:rsidRPr="00702B71">
              <w:t xml:space="preserve"> and current issues impacting on Aboriginal and Torres Strait Islander people</w:t>
            </w:r>
          </w:p>
          <w:p w:rsidR="00000000" w:rsidP="00702B71">
            <w:pPr>
              <w:pStyle w:val="ListBullet"/>
              <w:rPr>
                <w:lang w:val="en-NZ"/>
              </w:rPr>
            </w:pPr>
            <w:r w:rsidRPr="00702B71">
              <w:t>Assessors and trainers must take into account relevant access and equity issues, in particular relating to factors impacting on Aboriginal and/or Torres Strait Islander clients a</w:t>
            </w:r>
            <w:r w:rsidRPr="00702B71">
              <w:t>nd communities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Context of and specific resources for assessment</w:t>
            </w:r>
            <w:r w:rsidRPr="00702B71">
              <w:t xml:space="preserve">: </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This unit can be assessed independently, however holistic assessment practice with other community services units of competency is encouraged</w:t>
            </w:r>
          </w:p>
          <w:p w:rsidR="00000000" w:rsidP="00702B71">
            <w:pPr>
              <w:pStyle w:val="ListBullet"/>
              <w:rPr>
                <w:lang w:val="en-NZ"/>
              </w:rPr>
            </w:pPr>
            <w:r w:rsidRPr="00702B71">
              <w:t>Resources required for assessment include access to relevant workplace or simulated realistic workplace setting where assessment may take place</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Method of assessment</w:t>
            </w:r>
            <w:r w:rsidRPr="00702B71">
              <w:t>:</w:t>
            </w:r>
          </w:p>
        </w:tc>
        <w:tc>
          <w:tcPr>
            <w:tcW w:w="5670" w:type="dxa"/>
            <w:tcBorders>
              <w:top w:val="nil"/>
              <w:left w:val="nil"/>
              <w:bottom w:val="nil"/>
              <w:right w:val="nil"/>
            </w:tcBorders>
            <w:tcMar>
              <w:top w:w="0" w:type="dxa"/>
              <w:left w:w="62" w:type="dxa"/>
              <w:bottom w:w="0" w:type="dxa"/>
              <w:right w:w="62" w:type="dxa"/>
            </w:tcMar>
          </w:tcPr>
          <w:p w:rsidR="00000000" w:rsidP="00702B71">
            <w:pPr>
              <w:pStyle w:val="ListBullet"/>
              <w:rPr>
                <w:lang w:val="en-NZ"/>
              </w:rPr>
            </w:pPr>
            <w:r w:rsidRPr="00702B71">
              <w:t>Assessment may include observation, questioning and evidence gathered from a workplac</w:t>
            </w:r>
            <w:r w:rsidRPr="00702B71">
              <w:t>e environment</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BodyText"/>
            </w:pPr>
          </w:p>
        </w:tc>
      </w:tr>
    </w:tbl>
    <w:p w:rsidR="0083193A" w:rsidP="00702B71">
      <w:pPr>
        <w:pStyle w:val="BodyText"/>
      </w:pPr>
    </w:p>
    <w:p w:rsidR="0083193A" w:rsidP="00702B71">
      <w:pPr>
        <w:pStyle w:val="BodyText"/>
      </w:pPr>
    </w:p>
    <w:p w:rsidR="00000000" w:rsidRPr="00702B71" w:rsidP="00702B71">
      <w:pPr>
        <w:pStyle w:val="Heading1"/>
      </w:pPr>
      <w:bookmarkStart w:id="11" w:name="O_249770"/>
      <w:bookmarkEnd w:id="11"/>
      <w:r w:rsidRPr="00702B71">
        <w:t>Range Statement</w:t>
      </w:r>
    </w:p>
    <w:tbl>
      <w:tblPr>
        <w:tblW w:w="0" w:type="auto"/>
        <w:tblLayout w:type="fixed"/>
        <w:tblCellMar>
          <w:left w:w="62" w:type="dxa"/>
          <w:right w:w="62" w:type="dxa"/>
        </w:tblCellMar>
        <w:tblLook w:val="0000"/>
      </w:tblPr>
      <w:tblGrid>
        <w:gridCol w:w="3402"/>
        <w:gridCol w:w="5670"/>
      </w:tblGrid>
      <w:tr w:rsidTr="0083193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SpecialBold"/>
              </w:rPr>
              <w:t>RANGE STATEMENT</w:t>
            </w:r>
          </w:p>
        </w:tc>
      </w:tr>
      <w:tr w:rsidTr="0083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t xml:space="preserve">The Range Statement relates to the unit of competency as a whole. It allows for different work environments and situations that may affect </w:t>
            </w:r>
            <w:r w:rsidRPr="00702B71">
              <w:t>performance. Add any essential operating conditions that may be present with training and assessment depending on the work situation, needs of the candidate, accessibility of the item, and local industry and regional contexts.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Flexible learning programs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Distance delivery</w:t>
            </w:r>
          </w:p>
          <w:p w:rsidR="00000000" w:rsidRPr="00702B71" w:rsidP="00702B71">
            <w:pPr>
              <w:pStyle w:val="ListBullet"/>
            </w:pPr>
            <w:r w:rsidRPr="00702B71">
              <w:t>Correspondence</w:t>
            </w:r>
          </w:p>
          <w:p w:rsidR="00000000" w:rsidRPr="00702B71" w:rsidP="00702B71">
            <w:pPr>
              <w:pStyle w:val="ListBullet"/>
            </w:pPr>
            <w:r w:rsidRPr="00702B71">
              <w:t>E learning</w:t>
            </w:r>
          </w:p>
          <w:p w:rsidR="00000000" w:rsidRPr="00702B71" w:rsidP="00702B71">
            <w:pPr>
              <w:pStyle w:val="ListBullet"/>
            </w:pPr>
            <w:r w:rsidRPr="00702B71">
              <w:t>Teleconferencing</w:t>
            </w:r>
          </w:p>
          <w:p w:rsidR="00000000" w:rsidRPr="00702B71" w:rsidP="00702B71">
            <w:pPr>
              <w:pStyle w:val="ListBullet"/>
            </w:pPr>
            <w:r w:rsidRPr="00702B71">
              <w:t>Video conferencing</w:t>
            </w:r>
          </w:p>
          <w:p w:rsidR="00000000" w:rsidRPr="00702B71" w:rsidP="00702B71">
            <w:pPr>
              <w:pStyle w:val="ListBullet"/>
            </w:pPr>
            <w:r w:rsidRPr="00702B71">
              <w:t>Mixed mode delivery</w:t>
            </w:r>
          </w:p>
          <w:p w:rsidR="00000000" w:rsidP="00702B71">
            <w:pPr>
              <w:pStyle w:val="ListBullet"/>
              <w:rPr>
                <w:lang w:val="en-NZ"/>
              </w:rPr>
            </w:pPr>
            <w:r w:rsidRPr="00702B71">
              <w:t>Community education program</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Flexible delivery policy and procedures may include</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Students meet certain criteria</w:t>
            </w:r>
            <w:r w:rsidRPr="00702B71">
              <w:t xml:space="preserve"> to enrol in flexible learning program</w:t>
            </w:r>
          </w:p>
          <w:p w:rsidR="00000000" w:rsidRPr="00702B71" w:rsidP="00702B71">
            <w:pPr>
              <w:pStyle w:val="ListBullet"/>
            </w:pPr>
            <w:r w:rsidRPr="00702B71">
              <w:t>Allocation of particular rooms/spaces/times/equipment for flexible learning</w:t>
            </w:r>
          </w:p>
          <w:p w:rsidR="00000000" w:rsidRPr="00702B71" w:rsidP="00702B71">
            <w:pPr>
              <w:pStyle w:val="ListBullet"/>
            </w:pPr>
            <w:r w:rsidRPr="00702B71">
              <w:t>Supervisors responsibilities</w:t>
            </w:r>
          </w:p>
          <w:p w:rsidR="00000000" w:rsidRPr="00702B71" w:rsidP="00702B71">
            <w:pPr>
              <w:pStyle w:val="ListBullet"/>
            </w:pPr>
            <w:r w:rsidRPr="00702B71">
              <w:t>Consultation and reporting requirements</w:t>
            </w:r>
          </w:p>
          <w:p w:rsidR="00000000" w:rsidRPr="00702B71" w:rsidP="00702B71">
            <w:pPr>
              <w:pStyle w:val="ListBullet"/>
            </w:pPr>
            <w:r w:rsidRPr="00702B71">
              <w:t>Student responsibilities</w:t>
            </w:r>
          </w:p>
          <w:p w:rsidR="00000000" w:rsidRPr="00702B71" w:rsidP="00702B71">
            <w:pPr>
              <w:pStyle w:val="ListBullet"/>
            </w:pPr>
            <w:r w:rsidRPr="00702B71">
              <w:t xml:space="preserve">Conduct </w:t>
            </w:r>
            <w:r w:rsidRPr="00702B71">
              <w:t>expected while engaged inflexible learning programs</w:t>
            </w:r>
          </w:p>
          <w:p w:rsidR="00000000" w:rsidRPr="00702B71" w:rsidP="00702B71">
            <w:pPr>
              <w:pStyle w:val="ListBullet"/>
            </w:pPr>
            <w:r w:rsidRPr="00702B71">
              <w:t>Specific providers/courses</w:t>
            </w:r>
          </w:p>
          <w:p w:rsidR="00000000" w:rsidRPr="00702B71" w:rsidP="00702B71">
            <w:pPr>
              <w:pStyle w:val="ListBullet"/>
            </w:pPr>
            <w:r w:rsidRPr="00702B71">
              <w:t>Parental consent</w:t>
            </w:r>
          </w:p>
          <w:p w:rsidR="00000000" w:rsidP="00702B71">
            <w:pPr>
              <w:pStyle w:val="ListBullet"/>
              <w:rPr>
                <w:lang w:val="en-NZ"/>
              </w:rPr>
            </w:pPr>
            <w:r w:rsidRPr="00702B71">
              <w:t>Alternative arrangements if supervisor absent</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Resources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Digital materials</w:t>
            </w:r>
          </w:p>
          <w:p w:rsidR="00000000" w:rsidRPr="00702B71" w:rsidP="00702B71">
            <w:pPr>
              <w:pStyle w:val="ListBullet"/>
            </w:pPr>
            <w:r w:rsidRPr="00702B71">
              <w:t>Workbooks</w:t>
            </w:r>
          </w:p>
          <w:p w:rsidR="00000000" w:rsidRPr="00702B71" w:rsidP="00702B71">
            <w:pPr>
              <w:pStyle w:val="ListBullet"/>
            </w:pPr>
            <w:r w:rsidRPr="00702B71">
              <w:t>Diaries</w:t>
            </w:r>
          </w:p>
          <w:p w:rsidR="00000000" w:rsidRPr="00702B71" w:rsidP="00702B71">
            <w:pPr>
              <w:pStyle w:val="ListBullet"/>
            </w:pPr>
            <w:r w:rsidRPr="00702B71">
              <w:t>Log books</w:t>
            </w:r>
          </w:p>
          <w:p w:rsidR="00000000" w:rsidRPr="00702B71" w:rsidP="00702B71">
            <w:pPr>
              <w:pStyle w:val="ListBullet"/>
            </w:pPr>
            <w:r w:rsidRPr="00702B71">
              <w:t>Mailing materials</w:t>
            </w:r>
          </w:p>
          <w:p w:rsidR="00000000" w:rsidRPr="00702B71" w:rsidP="00702B71">
            <w:pPr>
              <w:pStyle w:val="ListBullet"/>
            </w:pPr>
            <w:r w:rsidRPr="00702B71">
              <w:t>Specific readings</w:t>
            </w:r>
          </w:p>
          <w:p w:rsidR="00000000" w:rsidRPr="00702B71" w:rsidP="00702B71">
            <w:pPr>
              <w:pStyle w:val="ListBullet"/>
            </w:pPr>
            <w:r w:rsidRPr="00702B71">
              <w:t>Passwords and logins</w:t>
            </w:r>
          </w:p>
          <w:p w:rsidR="00000000" w:rsidRPr="00702B71" w:rsidP="00702B71">
            <w:pPr>
              <w:pStyle w:val="ListBullet"/>
            </w:pPr>
            <w:r w:rsidRPr="00702B71">
              <w:t>Access to the internet</w:t>
            </w:r>
          </w:p>
          <w:p w:rsidR="00000000" w:rsidRPr="00702B71" w:rsidP="00702B71">
            <w:pPr>
              <w:pStyle w:val="ListBullet"/>
            </w:pPr>
            <w:r w:rsidRPr="00702B71">
              <w:t>Email access</w:t>
            </w:r>
          </w:p>
          <w:p w:rsidR="00000000" w:rsidRPr="00702B71" w:rsidP="00702B71">
            <w:pPr>
              <w:pStyle w:val="ListBullet"/>
            </w:pPr>
            <w:r w:rsidRPr="00702B71">
              <w:t>Access to an e learning management system</w:t>
            </w:r>
          </w:p>
          <w:p w:rsidR="00000000" w:rsidRPr="00702B71" w:rsidP="00702B71">
            <w:pPr>
              <w:pStyle w:val="ListBullet"/>
            </w:pPr>
            <w:r w:rsidRPr="00702B71">
              <w:t>Equipment</w:t>
            </w:r>
          </w:p>
          <w:p w:rsidR="00000000" w:rsidP="00702B71">
            <w:pPr>
              <w:pStyle w:val="ListBullet"/>
              <w:rPr>
                <w:lang w:val="en-NZ"/>
              </w:rPr>
            </w:pPr>
            <w:r w:rsidRPr="00702B71">
              <w:t>Specific hardware/software/appliances for students with disabilities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Technical requirements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Telephone equipment</w:t>
            </w:r>
          </w:p>
          <w:p w:rsidR="00000000" w:rsidRPr="00702B71" w:rsidP="00702B71">
            <w:pPr>
              <w:pStyle w:val="ListBullet"/>
            </w:pPr>
            <w:r w:rsidRPr="00702B71">
              <w:t xml:space="preserve">Computer </w:t>
            </w:r>
          </w:p>
          <w:p w:rsidR="00000000" w:rsidRPr="00702B71" w:rsidP="00702B71">
            <w:pPr>
              <w:pStyle w:val="ListBullet"/>
            </w:pPr>
            <w:r w:rsidRPr="00702B71">
              <w:t>Printer</w:t>
            </w:r>
          </w:p>
          <w:p w:rsidR="00000000" w:rsidRPr="00702B71" w:rsidP="00702B71">
            <w:pPr>
              <w:pStyle w:val="ListBullet"/>
            </w:pPr>
            <w:r w:rsidRPr="00702B71">
              <w:t>Fax</w:t>
            </w:r>
          </w:p>
          <w:p w:rsidR="00000000" w:rsidRPr="00702B71" w:rsidP="00702B71">
            <w:pPr>
              <w:pStyle w:val="ListBullet"/>
            </w:pPr>
            <w:r w:rsidRPr="00702B71">
              <w:t>Modem</w:t>
            </w:r>
          </w:p>
          <w:p w:rsidR="00000000" w:rsidRPr="00702B71" w:rsidP="00702B71">
            <w:pPr>
              <w:pStyle w:val="ListBullet"/>
            </w:pPr>
            <w:r w:rsidRPr="00702B71">
              <w:t>Headphones</w:t>
            </w:r>
          </w:p>
          <w:p w:rsidR="00000000" w:rsidRPr="00702B71" w:rsidP="00702B71">
            <w:pPr>
              <w:pStyle w:val="ListBullet"/>
            </w:pPr>
            <w:r w:rsidRPr="00702B71">
              <w:t>Camera</w:t>
            </w:r>
          </w:p>
          <w:p w:rsidR="00000000" w:rsidRPr="00702B71" w:rsidP="00702B71">
            <w:pPr>
              <w:pStyle w:val="ListBullet"/>
            </w:pPr>
            <w:r w:rsidRPr="00702B71">
              <w:t>Screen</w:t>
            </w:r>
          </w:p>
          <w:p w:rsidR="00000000" w:rsidRPr="00702B71" w:rsidP="00702B71">
            <w:pPr>
              <w:pStyle w:val="ListBullet"/>
            </w:pPr>
            <w:r w:rsidRPr="00702B71">
              <w:t>Audio equipment</w:t>
            </w:r>
          </w:p>
          <w:p w:rsidR="00000000" w:rsidRPr="00702B71" w:rsidP="00702B71">
            <w:pPr>
              <w:pStyle w:val="ListBullet"/>
            </w:pPr>
            <w:r w:rsidRPr="00702B71">
              <w:t>Video conferencing equipment</w:t>
            </w:r>
          </w:p>
          <w:p w:rsidR="00000000" w:rsidRPr="00702B71" w:rsidP="00702B71">
            <w:pPr>
              <w:pStyle w:val="ListBullet"/>
            </w:pPr>
            <w:r w:rsidRPr="00702B71">
              <w:t>CD/DVD player</w:t>
            </w:r>
          </w:p>
          <w:p w:rsidR="00000000" w:rsidP="00702B71">
            <w:pPr>
              <w:pStyle w:val="ListBullet"/>
              <w:rPr>
                <w:lang w:val="en-NZ"/>
              </w:rPr>
            </w:pPr>
            <w:r w:rsidRPr="00702B71">
              <w:t>Adaptive technologies for students with disabilities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Technical support needs and mechanisms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Technical support from IT specialists</w:t>
            </w:r>
          </w:p>
          <w:p w:rsidR="00000000" w:rsidRPr="00702B71" w:rsidP="00702B71">
            <w:pPr>
              <w:pStyle w:val="ListBullet"/>
            </w:pPr>
            <w:r w:rsidRPr="00702B71">
              <w:t>Meeting accessibility issues</w:t>
            </w:r>
          </w:p>
          <w:p w:rsidR="00000000" w:rsidRPr="00702B71" w:rsidP="00702B71">
            <w:pPr>
              <w:pStyle w:val="ListBullet"/>
            </w:pPr>
            <w:r w:rsidRPr="00702B71">
              <w:t>Support IT literacy</w:t>
            </w:r>
          </w:p>
          <w:p w:rsidR="00000000" w:rsidRPr="00702B71" w:rsidP="00702B71">
            <w:pPr>
              <w:pStyle w:val="ListBullet"/>
            </w:pPr>
            <w:r w:rsidRPr="00702B71">
              <w:t>OHS guidelines - ergonomic information re use of computers and other equipment</w:t>
            </w:r>
          </w:p>
          <w:p w:rsidR="00000000" w:rsidRPr="00702B71" w:rsidP="00702B71">
            <w:pPr>
              <w:pStyle w:val="ListBullet"/>
            </w:pPr>
            <w:r w:rsidRPr="00702B71">
              <w:t>Problem solving tools</w:t>
            </w:r>
          </w:p>
          <w:p w:rsidR="00000000" w:rsidRPr="00702B71" w:rsidP="00702B71">
            <w:pPr>
              <w:pStyle w:val="ListBullet"/>
            </w:pPr>
            <w:r w:rsidRPr="00702B71">
              <w:t>Access to a range of business equipment</w:t>
            </w:r>
          </w:p>
          <w:p w:rsidR="00000000" w:rsidP="00702B71">
            <w:pPr>
              <w:pStyle w:val="ListBullet"/>
              <w:rPr>
                <w:lang w:val="en-NZ"/>
              </w:rPr>
            </w:pPr>
            <w:r w:rsidRPr="00702B71">
              <w:t>Specialist advice regarding adjustments for students with a disabi</w:t>
            </w:r>
            <w:r w:rsidRPr="00702B71">
              <w:t>lity</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Flexible learning protocols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Expectations of students</w:t>
            </w:r>
          </w:p>
          <w:p w:rsidR="00000000" w:rsidP="00702B71">
            <w:pPr>
              <w:pStyle w:val="ListBullet"/>
              <w:rPr>
                <w:lang w:val="en-NZ"/>
              </w:rPr>
            </w:pPr>
            <w:r w:rsidRPr="00702B71">
              <w:t>Expectations of supervisors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Principles of practice are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Underpinning elements that reflect the philosophy/theory of learning being used by teachers</w:t>
            </w:r>
          </w:p>
          <w:p w:rsidR="00000000" w:rsidRPr="00702B71" w:rsidP="00702B71">
            <w:pPr>
              <w:pStyle w:val="ListBullet"/>
            </w:pPr>
            <w:r w:rsidRPr="00702B71">
              <w:t>Principles inform the teaching and learning approaches of teachers</w:t>
            </w:r>
          </w:p>
          <w:p w:rsidR="00000000" w:rsidRPr="00702B71" w:rsidP="00702B71">
            <w:pPr>
              <w:pStyle w:val="ListBullet"/>
            </w:pPr>
            <w:r w:rsidRPr="00702B71">
              <w:t>Principles related to a particular type of approach</w:t>
            </w:r>
          </w:p>
          <w:p w:rsidR="00000000" w:rsidP="00702B71">
            <w:pPr>
              <w:pStyle w:val="ListBullet"/>
              <w:rPr>
                <w:lang w:val="en-NZ"/>
              </w:rPr>
            </w:pPr>
            <w:r w:rsidRPr="00702B71">
              <w:t>Principles inform the operation structure within which an education support worker will work</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Technical and personal support may inclu</w:t>
            </w:r>
            <w:r w:rsidRPr="00702B71">
              <w:rPr>
                <w:rStyle w:val="Emphasis"/>
              </w:rPr>
              <w:t>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Adjustments to the environment, timetables, tools and resources supplied based on the learning program, flexible delivery mode and the characteristics of the learner</w:t>
            </w:r>
          </w:p>
          <w:p w:rsidR="00000000" w:rsidRPr="00702B71" w:rsidP="00702B71">
            <w:pPr>
              <w:pStyle w:val="ListBullet"/>
            </w:pPr>
            <w:r w:rsidRPr="00702B71">
              <w:t>Provision of one to one support, including assistance with articulating difficulties, problem solving and liaison with teachers and or facilitators</w:t>
            </w:r>
          </w:p>
          <w:p w:rsidR="00000000" w:rsidP="00702B71">
            <w:pPr>
              <w:pStyle w:val="ListBullet"/>
              <w:rPr>
                <w:lang w:val="en-NZ"/>
              </w:rPr>
            </w:pPr>
            <w:r w:rsidRPr="00702B71">
              <w:t>Assisting students to address health and/or welfare issues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Interventions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Verbal or non-ver</w:t>
            </w:r>
            <w:r w:rsidRPr="00702B71">
              <w:t>bal direction</w:t>
            </w:r>
          </w:p>
          <w:p w:rsidR="00000000" w:rsidRPr="00702B71" w:rsidP="00702B71">
            <w:pPr>
              <w:pStyle w:val="ListBullet"/>
            </w:pPr>
            <w:r w:rsidRPr="00702B71">
              <w:t>Open questioning to encourage problem solving</w:t>
            </w:r>
          </w:p>
          <w:p w:rsidR="00000000" w:rsidRPr="00702B71" w:rsidP="00702B71">
            <w:pPr>
              <w:pStyle w:val="ListBullet"/>
            </w:pPr>
            <w:r w:rsidRPr="00702B71">
              <w:t>Use of different equipment/space</w:t>
            </w:r>
          </w:p>
          <w:p w:rsidR="00000000" w:rsidRPr="00702B71" w:rsidP="00702B71">
            <w:pPr>
              <w:pStyle w:val="ListBullet"/>
            </w:pPr>
            <w:r w:rsidRPr="00702B71">
              <w:t>Program/equipment adjustments</w:t>
            </w:r>
          </w:p>
          <w:p w:rsidR="00000000" w:rsidRPr="00702B71" w:rsidP="00702B71">
            <w:pPr>
              <w:pStyle w:val="ListBullet"/>
            </w:pPr>
            <w:r w:rsidRPr="00702B71">
              <w:t>Liaison between teachers/ supervisors/students</w:t>
            </w:r>
          </w:p>
          <w:p w:rsidR="00000000" w:rsidRPr="00702B71" w:rsidP="00702B71">
            <w:pPr>
              <w:pStyle w:val="ListBullet"/>
            </w:pPr>
            <w:r w:rsidRPr="00702B71">
              <w:t>Behaviour support strategies</w:t>
            </w:r>
          </w:p>
          <w:p w:rsidR="00000000" w:rsidRPr="00702B71" w:rsidP="00702B71">
            <w:pPr>
              <w:pStyle w:val="ListBullet"/>
            </w:pPr>
            <w:r w:rsidRPr="00702B71">
              <w:t>Substitute support strategies</w:t>
            </w:r>
          </w:p>
          <w:p w:rsidR="00000000" w:rsidRPr="00702B71" w:rsidP="00702B71">
            <w:pPr>
              <w:pStyle w:val="ListBullet"/>
            </w:pPr>
            <w:r w:rsidRPr="00702B71">
              <w:t>Removal of certain stimuli</w:t>
            </w:r>
          </w:p>
          <w:p w:rsidR="00000000" w:rsidP="00702B71">
            <w:pPr>
              <w:pStyle w:val="ListBullet"/>
              <w:rPr>
                <w:lang w:val="en-NZ"/>
              </w:rPr>
            </w:pPr>
            <w:r w:rsidRPr="00702B71">
              <w:t>Referral to supervisor or administrator</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B71">
            <w:pPr>
              <w:pStyle w:val="BodyText"/>
              <w:rPr>
                <w:lang w:val="en-NZ"/>
              </w:rPr>
            </w:pPr>
            <w:r w:rsidRPr="00702B71">
              <w:rPr>
                <w:rStyle w:val="Emphasis"/>
              </w:rPr>
              <w:t>Relevant personnel may include</w:t>
            </w:r>
            <w:r w:rsidRPr="00702B71">
              <w:t>:</w:t>
            </w: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ListBullet"/>
            </w:pPr>
            <w:r w:rsidRPr="00702B71">
              <w:t>Teachers</w:t>
            </w:r>
          </w:p>
          <w:p w:rsidR="00000000" w:rsidRPr="00702B71" w:rsidP="00702B71">
            <w:pPr>
              <w:pStyle w:val="ListBullet"/>
            </w:pPr>
            <w:r w:rsidRPr="00702B71">
              <w:t>Principal</w:t>
            </w:r>
          </w:p>
          <w:p w:rsidR="00000000" w:rsidRPr="00702B71" w:rsidP="00702B71">
            <w:pPr>
              <w:pStyle w:val="ListBullet"/>
            </w:pPr>
            <w:r w:rsidRPr="00702B71">
              <w:t>Tutors</w:t>
            </w:r>
          </w:p>
          <w:p w:rsidR="00000000" w:rsidRPr="00702B71" w:rsidP="00702B71">
            <w:pPr>
              <w:pStyle w:val="ListBullet"/>
            </w:pPr>
            <w:r w:rsidRPr="00702B71">
              <w:t>Information technology officer</w:t>
            </w:r>
          </w:p>
          <w:p w:rsidR="00000000" w:rsidRPr="00702B71" w:rsidP="00702B71">
            <w:pPr>
              <w:pStyle w:val="ListBullet"/>
            </w:pPr>
            <w:r w:rsidRPr="00702B71">
              <w:t>Head of department</w:t>
            </w:r>
          </w:p>
          <w:p w:rsidR="00000000" w:rsidRPr="00702B71" w:rsidP="00702B71">
            <w:pPr>
              <w:pStyle w:val="ListBullet"/>
            </w:pPr>
            <w:r w:rsidRPr="00702B71">
              <w:t>Facilitators</w:t>
            </w:r>
          </w:p>
          <w:p w:rsidR="00000000" w:rsidP="00702B71">
            <w:pPr>
              <w:pStyle w:val="ListBullet"/>
              <w:rPr>
                <w:lang w:val="en-NZ"/>
              </w:rPr>
            </w:pPr>
            <w:r w:rsidRPr="00702B71">
              <w:t>Parents</w:t>
            </w:r>
          </w:p>
        </w:tc>
      </w:tr>
      <w:tr w:rsidTr="008319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B71" w:rsidP="00702B71">
            <w:pPr>
              <w:pStyle w:val="BodyText"/>
            </w:pPr>
          </w:p>
        </w:tc>
      </w:tr>
    </w:tbl>
    <w:p w:rsidR="0083193A" w:rsidP="00702B71">
      <w:pPr>
        <w:pStyle w:val="BodyText"/>
      </w:pPr>
    </w:p>
    <w:p w:rsidR="0083193A" w:rsidP="00702B71">
      <w:pPr>
        <w:pStyle w:val="BodyText"/>
      </w:pPr>
    </w:p>
    <w:p w:rsidR="00000000" w:rsidRPr="00702B71" w:rsidP="00702B71">
      <w:pPr>
        <w:pStyle w:val="Heading1"/>
      </w:pPr>
      <w:bookmarkStart w:id="12" w:name="O_294075"/>
      <w:bookmarkEnd w:id="12"/>
      <w:r w:rsidRPr="00702B71">
        <w:t>Unit Sector(s)</w:t>
      </w:r>
    </w:p>
    <w:p w:rsidR="00000000" w:rsidRPr="00702B71" w:rsidP="00702B71">
      <w:pPr>
        <w:pStyle w:val="BodyText"/>
      </w:pPr>
      <w:r w:rsidRPr="00702B71">
        <w:t>Not Applicable</w:t>
      </w:r>
    </w:p>
    <w:p w:rsidR="00000000" w:rsidRPr="00702B71" w:rsidP="00702B71"/>
    <w:sectPr w:rsidSect="00702B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93A" w:rsidP="00831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A" w:rsidP="00702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193A" w:rsidP="00702B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193A" w:rsidP="00702B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93A" w:rsidP="008319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3A" w:rsidP="00702B71">
    <w:pPr>
      <w:pStyle w:val="Header"/>
      <w:framePr w:wrap="around"/>
    </w:pPr>
    <w:r>
      <w:fldChar w:fldCharType="begin"/>
    </w:r>
    <w:r>
      <w:instrText xml:space="preserve"> TITLE   \* MERGEFORMAT </w:instrText>
    </w:r>
    <w:r>
      <w:fldChar w:fldCharType="separate"/>
    </w:r>
    <w:r>
      <w:t>CHCEDS419A Support flexible learning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93A" w:rsidP="00702B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F48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723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B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B71"/>
    <w:pPr>
      <w:spacing w:before="360" w:after="60"/>
      <w:outlineLvl w:val="0"/>
    </w:pPr>
    <w:rPr>
      <w:sz w:val="32"/>
    </w:rPr>
  </w:style>
  <w:style w:type="paragraph" w:styleId="Heading2">
    <w:name w:val="heading 2"/>
    <w:basedOn w:val="HeadingBase"/>
    <w:next w:val="BodyText"/>
    <w:link w:val="Heading2Char"/>
    <w:qFormat/>
    <w:rsid w:val="00702B71"/>
    <w:pPr>
      <w:keepLines/>
      <w:spacing w:before="240" w:after="120"/>
      <w:outlineLvl w:val="1"/>
    </w:pPr>
    <w:rPr>
      <w:sz w:val="28"/>
      <w:szCs w:val="40"/>
    </w:rPr>
  </w:style>
  <w:style w:type="paragraph" w:styleId="Heading3">
    <w:name w:val="heading 3"/>
    <w:basedOn w:val="HeadingBase"/>
    <w:next w:val="BodyText"/>
    <w:link w:val="Heading3Char"/>
    <w:qFormat/>
    <w:rsid w:val="00702B71"/>
    <w:pPr>
      <w:spacing w:before="180" w:after="120"/>
      <w:outlineLvl w:val="2"/>
    </w:pPr>
    <w:rPr>
      <w:spacing w:val="-10"/>
      <w:kern w:val="32"/>
    </w:rPr>
  </w:style>
  <w:style w:type="paragraph" w:styleId="Heading4">
    <w:name w:val="heading 4"/>
    <w:basedOn w:val="HeadingBase"/>
    <w:next w:val="BodyText"/>
    <w:link w:val="Heading4Char"/>
    <w:qFormat/>
    <w:rsid w:val="00702B71"/>
    <w:pPr>
      <w:spacing w:before="160" w:after="120"/>
      <w:outlineLvl w:val="3"/>
    </w:pPr>
    <w:rPr>
      <w:sz w:val="22"/>
    </w:rPr>
  </w:style>
  <w:style w:type="paragraph" w:styleId="Heading5">
    <w:name w:val="heading 5"/>
    <w:basedOn w:val="HeadingBase"/>
    <w:next w:val="Normal"/>
    <w:link w:val="Heading5Char"/>
    <w:qFormat/>
    <w:rsid w:val="00702B71"/>
    <w:pPr>
      <w:spacing w:before="80"/>
      <w:outlineLvl w:val="4"/>
    </w:pPr>
    <w:rPr>
      <w:color w:val="918585"/>
      <w:sz w:val="20"/>
    </w:rPr>
  </w:style>
  <w:style w:type="paragraph" w:styleId="Heading6">
    <w:name w:val="heading 6"/>
    <w:basedOn w:val="HeadingBase"/>
    <w:next w:val="Normal"/>
    <w:link w:val="Heading6Char"/>
    <w:qFormat/>
    <w:rsid w:val="00702B71"/>
    <w:pPr>
      <w:spacing w:before="60"/>
      <w:outlineLvl w:val="5"/>
    </w:pPr>
    <w:rPr>
      <w:color w:val="918585"/>
      <w:sz w:val="20"/>
    </w:rPr>
  </w:style>
  <w:style w:type="paragraph" w:styleId="Heading7">
    <w:name w:val="heading 7"/>
    <w:basedOn w:val="Normal"/>
    <w:next w:val="Normal"/>
    <w:link w:val="Heading7Char"/>
    <w:qFormat/>
    <w:rsid w:val="00702B71"/>
    <w:pPr>
      <w:ind w:left="720"/>
      <w:outlineLvl w:val="6"/>
    </w:pPr>
    <w:rPr>
      <w:i/>
    </w:rPr>
  </w:style>
  <w:style w:type="paragraph" w:styleId="Heading8">
    <w:name w:val="heading 8"/>
    <w:basedOn w:val="Normal"/>
    <w:next w:val="Normal"/>
    <w:link w:val="Heading8Char"/>
    <w:qFormat/>
    <w:rsid w:val="00702B71"/>
    <w:pPr>
      <w:ind w:left="720"/>
      <w:outlineLvl w:val="7"/>
    </w:pPr>
    <w:rPr>
      <w:i/>
    </w:rPr>
  </w:style>
  <w:style w:type="paragraph" w:styleId="Heading9">
    <w:name w:val="heading 9"/>
    <w:basedOn w:val="Normal"/>
    <w:next w:val="Normal"/>
    <w:link w:val="Heading9Char"/>
    <w:qFormat/>
    <w:rsid w:val="00702B71"/>
    <w:pPr>
      <w:ind w:left="720"/>
      <w:outlineLvl w:val="8"/>
    </w:pPr>
    <w:rPr>
      <w:i/>
    </w:rPr>
  </w:style>
  <w:style w:type="character" w:default="1" w:styleId="DefaultParagraphFont">
    <w:name w:val="Default Paragraph Font"/>
    <w:uiPriority w:val="1"/>
    <w:unhideWhenUsed/>
    <w:rsid w:val="00702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B71"/>
  </w:style>
  <w:style w:type="character" w:customStyle="1" w:styleId="Heading1Char">
    <w:name w:val="Heading 1 Char"/>
    <w:link w:val="Heading1"/>
    <w:rsid w:val="00702B71"/>
    <w:rPr>
      <w:rFonts w:ascii="Times New Roman" w:eastAsia="Times New Roman" w:hAnsi="Times New Roman" w:cs="Times New Roman"/>
      <w:b/>
      <w:sz w:val="32"/>
      <w:szCs w:val="20"/>
      <w:lang w:eastAsia="en-US"/>
    </w:rPr>
  </w:style>
  <w:style w:type="paragraph" w:styleId="BodyText">
    <w:name w:val="Body Text"/>
    <w:basedOn w:val="Normal"/>
    <w:link w:val="BodyTextChar"/>
    <w:rsid w:val="00702B71"/>
    <w:pPr>
      <w:spacing w:before="120" w:after="120"/>
      <w:contextualSpacing/>
    </w:pPr>
    <w:rPr>
      <w:rFonts w:ascii="Times New Roman" w:hAnsi="Times New Roman"/>
      <w:sz w:val="24"/>
      <w:szCs w:val="22"/>
    </w:rPr>
  </w:style>
  <w:style w:type="character" w:customStyle="1" w:styleId="BodyTextChar">
    <w:name w:val="Body Text Char"/>
    <w:link w:val="BodyText"/>
    <w:rsid w:val="00702B71"/>
    <w:rPr>
      <w:rFonts w:ascii="Times New Roman" w:eastAsia="Times New Roman" w:hAnsi="Times New Roman" w:cs="Times New Roman"/>
      <w:sz w:val="24"/>
      <w:lang w:val="en-US" w:eastAsia="en-US"/>
    </w:rPr>
  </w:style>
  <w:style w:type="paragraph" w:styleId="Footer">
    <w:name w:val="footer"/>
    <w:basedOn w:val="Normal"/>
    <w:link w:val="FooterChar"/>
    <w:rsid w:val="00702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2B71"/>
    <w:rPr>
      <w:rFonts w:ascii="Times New Roman" w:eastAsia="Times New Roman" w:hAnsi="Times New Roman" w:cs="Times New Roman"/>
      <w:sz w:val="16"/>
      <w:lang w:val="en-US" w:eastAsia="en-US"/>
    </w:rPr>
  </w:style>
  <w:style w:type="paragraph" w:styleId="List">
    <w:name w:val="List"/>
    <w:basedOn w:val="BodyText"/>
    <w:next w:val="BodyText"/>
    <w:rsid w:val="00702B71"/>
    <w:pPr>
      <w:tabs>
        <w:tab w:val="left" w:pos="340"/>
      </w:tabs>
      <w:spacing w:before="60" w:after="60"/>
      <w:ind w:left="340" w:hanging="340"/>
    </w:pPr>
  </w:style>
  <w:style w:type="paragraph" w:styleId="ListBullet">
    <w:name w:val="List Bullet"/>
    <w:basedOn w:val="List"/>
    <w:rsid w:val="00702B71"/>
    <w:pPr>
      <w:numPr>
        <w:numId w:val="12"/>
      </w:numPr>
      <w:tabs>
        <w:tab w:val="clear" w:pos="340"/>
      </w:tabs>
      <w:spacing w:before="40" w:after="40"/>
    </w:pPr>
  </w:style>
  <w:style w:type="character" w:customStyle="1" w:styleId="SpecialBold">
    <w:name w:val="Special Bold"/>
    <w:rsid w:val="00702B71"/>
    <w:rPr>
      <w:b/>
      <w:spacing w:val="0"/>
    </w:rPr>
  </w:style>
  <w:style w:type="paragraph" w:styleId="Header">
    <w:name w:val="header"/>
    <w:basedOn w:val="Normal"/>
    <w:link w:val="HeaderChar"/>
    <w:rsid w:val="00702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2B71"/>
    <w:rPr>
      <w:rFonts w:ascii="Times New Roman" w:eastAsia="Times New Roman" w:hAnsi="Times New Roman" w:cs="Times New Roman"/>
      <w:sz w:val="16"/>
      <w:szCs w:val="20"/>
      <w:lang w:val="en-GB" w:eastAsia="en-US"/>
    </w:rPr>
  </w:style>
  <w:style w:type="character" w:styleId="Emphasis">
    <w:name w:val="Emphasis"/>
    <w:qFormat/>
    <w:rsid w:val="00702B71"/>
    <w:rPr>
      <w:i/>
    </w:rPr>
  </w:style>
  <w:style w:type="paragraph" w:customStyle="1" w:styleId="SuperHeading">
    <w:name w:val="SuperHeading"/>
    <w:basedOn w:val="Normal"/>
    <w:rsid w:val="00702B71"/>
    <w:pPr>
      <w:spacing w:before="240" w:after="120"/>
      <w:outlineLvl w:val="0"/>
    </w:pPr>
    <w:rPr>
      <w:rFonts w:ascii="Times New Roman" w:hAnsi="Times New Roman"/>
      <w:b/>
      <w:sz w:val="28"/>
    </w:rPr>
  </w:style>
  <w:style w:type="paragraph" w:customStyle="1" w:styleId="AllowPageBreak">
    <w:name w:val="AllowPageBreak"/>
    <w:rsid w:val="00702B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02B71"/>
    <w:rPr>
      <w:rFonts w:ascii="Times New Roman" w:eastAsia="Times New Roman" w:hAnsi="Times New Roman" w:cs="Times New Roman"/>
      <w:b/>
      <w:sz w:val="28"/>
      <w:szCs w:val="40"/>
      <w:lang w:eastAsia="en-US"/>
    </w:rPr>
  </w:style>
  <w:style w:type="character" w:customStyle="1" w:styleId="Heading3Char">
    <w:name w:val="Heading 3 Char"/>
    <w:link w:val="Heading3"/>
    <w:rsid w:val="00702B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2B71"/>
    <w:rPr>
      <w:rFonts w:ascii="Times New Roman" w:eastAsia="Times New Roman" w:hAnsi="Times New Roman" w:cs="Times New Roman"/>
      <w:b/>
      <w:szCs w:val="20"/>
      <w:lang w:eastAsia="en-US"/>
    </w:rPr>
  </w:style>
  <w:style w:type="character" w:customStyle="1" w:styleId="Heading5Char">
    <w:name w:val="Heading 5 Char"/>
    <w:link w:val="Heading5"/>
    <w:rsid w:val="00702B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2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B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B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B71"/>
    <w:rPr>
      <w:rFonts w:ascii="Courier New" w:eastAsia="Times New Roman" w:hAnsi="Courier New" w:cs="Times New Roman"/>
      <w:i/>
      <w:szCs w:val="20"/>
      <w:lang w:val="en-US" w:eastAsia="en-US"/>
    </w:rPr>
  </w:style>
  <w:style w:type="paragraph" w:customStyle="1" w:styleId="HeadingBase">
    <w:name w:val="Heading Base"/>
    <w:rsid w:val="00702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B71"/>
    <w:pPr>
      <w:tabs>
        <w:tab w:val="right" w:leader="dot" w:pos="9072"/>
      </w:tabs>
      <w:ind w:left="567"/>
    </w:pPr>
    <w:rPr>
      <w:szCs w:val="22"/>
    </w:rPr>
  </w:style>
  <w:style w:type="paragraph" w:customStyle="1" w:styleId="TOCBase">
    <w:name w:val="TOC Base"/>
    <w:rsid w:val="00702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B71"/>
    <w:pPr>
      <w:tabs>
        <w:tab w:val="right" w:leader="dot" w:pos="9072"/>
      </w:tabs>
      <w:spacing w:before="40" w:after="40"/>
      <w:ind w:left="284"/>
    </w:pPr>
    <w:rPr>
      <w:rFonts w:ascii="Times New Roman" w:hAnsi="Times New Roman"/>
    </w:rPr>
  </w:style>
  <w:style w:type="paragraph" w:styleId="TOC1">
    <w:name w:val="toc 1"/>
    <w:basedOn w:val="TOCBase"/>
    <w:next w:val="Normal"/>
    <w:rsid w:val="00702B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B71"/>
    <w:pPr>
      <w:spacing w:before="5040"/>
      <w:jc w:val="center"/>
    </w:pPr>
    <w:rPr>
      <w:sz w:val="48"/>
      <w:szCs w:val="72"/>
      <w:lang w:val="en-US"/>
    </w:rPr>
  </w:style>
  <w:style w:type="character" w:customStyle="1" w:styleId="TitleChar">
    <w:name w:val="Title Char"/>
    <w:link w:val="Title"/>
    <w:rsid w:val="00702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B71"/>
    <w:pPr>
      <w:tabs>
        <w:tab w:val="left" w:pos="3600"/>
        <w:tab w:val="left" w:pos="3958"/>
      </w:tabs>
    </w:pPr>
  </w:style>
  <w:style w:type="paragraph" w:customStyle="1" w:styleId="Note">
    <w:name w:val="Note"/>
    <w:basedOn w:val="BodyText"/>
    <w:rsid w:val="00702B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B71"/>
    <w:pPr>
      <w:framePr w:wrap="auto" w:hAnchor="text" w:y="6049"/>
    </w:pPr>
    <w:rPr>
      <w:color w:val="000000"/>
      <w:sz w:val="40"/>
    </w:rPr>
  </w:style>
  <w:style w:type="paragraph" w:customStyle="1" w:styleId="TOCTitle">
    <w:name w:val="TOCTitle"/>
    <w:basedOn w:val="Heading1"/>
    <w:rsid w:val="00702B71"/>
    <w:pPr>
      <w:spacing w:after="240"/>
      <w:jc w:val="center"/>
      <w:outlineLvl w:val="9"/>
    </w:pPr>
    <w:rPr>
      <w:caps/>
    </w:rPr>
  </w:style>
  <w:style w:type="paragraph" w:customStyle="1" w:styleId="Version">
    <w:name w:val="Version"/>
    <w:rsid w:val="00702B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B71"/>
    <w:pPr>
      <w:numPr>
        <w:numId w:val="13"/>
      </w:numPr>
      <w:tabs>
        <w:tab w:val="clear" w:pos="680"/>
      </w:tabs>
    </w:pPr>
  </w:style>
  <w:style w:type="paragraph" w:styleId="Index1">
    <w:name w:val="index 1"/>
    <w:basedOn w:val="Normal"/>
    <w:next w:val="Normal"/>
    <w:semiHidden/>
    <w:rsid w:val="00702B71"/>
    <w:pPr>
      <w:keepNext w:val="0"/>
      <w:tabs>
        <w:tab w:val="right" w:pos="4176"/>
      </w:tabs>
      <w:ind w:left="198" w:hanging="198"/>
    </w:pPr>
    <w:rPr>
      <w:rFonts w:ascii="Garamond" w:hAnsi="Garamond"/>
    </w:rPr>
  </w:style>
  <w:style w:type="paragraph" w:styleId="IndexHeading">
    <w:name w:val="index heading"/>
    <w:basedOn w:val="Normal"/>
    <w:next w:val="Index1"/>
    <w:semiHidden/>
    <w:rsid w:val="00702B71"/>
    <w:pPr>
      <w:spacing w:before="120" w:after="120"/>
    </w:pPr>
    <w:rPr>
      <w:rFonts w:ascii="Arial" w:hAnsi="Arial"/>
      <w:b/>
      <w:color w:val="918585"/>
      <w:sz w:val="24"/>
    </w:rPr>
  </w:style>
  <w:style w:type="paragraph" w:customStyle="1" w:styleId="Chapter">
    <w:name w:val="Chapter"/>
    <w:basedOn w:val="Normal"/>
    <w:rsid w:val="00702B71"/>
    <w:pPr>
      <w:spacing w:before="240"/>
    </w:pPr>
    <w:rPr>
      <w:rFonts w:ascii="Times New Roman" w:hAnsi="Times New Roman"/>
      <w:smallCaps/>
      <w:spacing w:val="80"/>
      <w:sz w:val="28"/>
    </w:rPr>
  </w:style>
  <w:style w:type="paragraph" w:customStyle="1" w:styleId="InChapter">
    <w:name w:val="InChapter"/>
    <w:basedOn w:val="Heading3"/>
    <w:rsid w:val="00702B71"/>
    <w:pPr>
      <w:spacing w:after="240"/>
      <w:outlineLvl w:val="9"/>
    </w:pPr>
    <w:rPr>
      <w:noProof/>
    </w:rPr>
  </w:style>
  <w:style w:type="paragraph" w:styleId="Index2">
    <w:name w:val="index 2"/>
    <w:basedOn w:val="Normal"/>
    <w:next w:val="Normal"/>
    <w:semiHidden/>
    <w:rsid w:val="00702B71"/>
    <w:pPr>
      <w:tabs>
        <w:tab w:val="right" w:pos="4176"/>
      </w:tabs>
      <w:ind w:left="568" w:hanging="284"/>
    </w:pPr>
    <w:rPr>
      <w:rFonts w:ascii="Garamond" w:hAnsi="Garamond"/>
    </w:rPr>
  </w:style>
  <w:style w:type="paragraph" w:customStyle="1" w:styleId="Byline">
    <w:name w:val="Byline"/>
    <w:rsid w:val="00702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B71"/>
    <w:pPr>
      <w:tabs>
        <w:tab w:val="clear" w:pos="3600"/>
        <w:tab w:val="clear" w:pos="3958"/>
      </w:tabs>
      <w:jc w:val="right"/>
    </w:pPr>
  </w:style>
  <w:style w:type="paragraph" w:styleId="Caption">
    <w:name w:val="caption"/>
    <w:basedOn w:val="BodyText"/>
    <w:next w:val="Normal"/>
    <w:qFormat/>
    <w:rsid w:val="00702B71"/>
    <w:pPr>
      <w:framePr w:w="2268" w:hSpace="181" w:vSpace="181" w:wrap="around" w:vAnchor="text" w:hAnchor="page" w:x="1135" w:y="285" w:anchorLock="1"/>
    </w:pPr>
    <w:rPr>
      <w:i/>
    </w:rPr>
  </w:style>
  <w:style w:type="paragraph" w:customStyle="1" w:styleId="MiniTOCTitle">
    <w:name w:val="MiniTOCTitle"/>
    <w:basedOn w:val="Heading4"/>
    <w:rsid w:val="00702B71"/>
    <w:pPr>
      <w:spacing w:before="240"/>
      <w:outlineLvl w:val="9"/>
    </w:pPr>
    <w:rPr>
      <w:noProof/>
      <w:sz w:val="24"/>
    </w:rPr>
  </w:style>
  <w:style w:type="paragraph" w:customStyle="1" w:styleId="MiniTOCItem">
    <w:name w:val="MiniTOCItem"/>
    <w:basedOn w:val="ListBullet"/>
    <w:rsid w:val="00702B71"/>
    <w:pPr>
      <w:numPr>
        <w:numId w:val="0"/>
      </w:numPr>
      <w:tabs>
        <w:tab w:val="right" w:leader="dot" w:pos="6521"/>
      </w:tabs>
      <w:spacing w:before="0" w:after="0"/>
    </w:pPr>
  </w:style>
  <w:style w:type="paragraph" w:customStyle="1" w:styleId="TOFTitle">
    <w:name w:val="TOFTitle"/>
    <w:basedOn w:val="TOCTitle"/>
    <w:rsid w:val="00702B71"/>
  </w:style>
  <w:style w:type="paragraph" w:styleId="TableofFigures">
    <w:name w:val="table of figures"/>
    <w:basedOn w:val="Normal"/>
    <w:next w:val="Normal"/>
    <w:semiHidden/>
    <w:rsid w:val="00702B71"/>
    <w:pPr>
      <w:tabs>
        <w:tab w:val="right" w:leader="dot" w:pos="9072"/>
      </w:tabs>
      <w:ind w:left="970" w:hanging="403"/>
    </w:pPr>
    <w:rPr>
      <w:rFonts w:ascii="Times New Roman" w:hAnsi="Times New Roman"/>
      <w:b/>
    </w:rPr>
  </w:style>
  <w:style w:type="paragraph" w:styleId="ListNumber">
    <w:name w:val="List Number"/>
    <w:basedOn w:val="List"/>
    <w:rsid w:val="00702B71"/>
    <w:pPr>
      <w:numPr>
        <w:numId w:val="10"/>
      </w:numPr>
    </w:pPr>
  </w:style>
  <w:style w:type="character" w:customStyle="1" w:styleId="WingdingSymbols">
    <w:name w:val="Wingding Symbols"/>
    <w:rsid w:val="00702B71"/>
    <w:rPr>
      <w:rFonts w:ascii="Wingdings" w:hAnsi="Wingdings"/>
    </w:rPr>
  </w:style>
  <w:style w:type="paragraph" w:customStyle="1" w:styleId="TableHeading">
    <w:name w:val="Table Heading"/>
    <w:basedOn w:val="HeadingBase"/>
    <w:rsid w:val="00702B71"/>
    <w:pPr>
      <w:keepLines/>
      <w:pBdr>
        <w:bottom w:val="single" w:sz="6" w:space="1" w:color="918585"/>
      </w:pBdr>
      <w:spacing w:before="240"/>
    </w:pPr>
  </w:style>
  <w:style w:type="character" w:customStyle="1" w:styleId="HotSpot">
    <w:name w:val="HotSpot"/>
    <w:rsid w:val="00702B71"/>
    <w:rPr>
      <w:color w:val="0033CC"/>
      <w:u w:val="none"/>
    </w:rPr>
  </w:style>
  <w:style w:type="paragraph" w:customStyle="1" w:styleId="BodyTextRight">
    <w:name w:val="Body Text Right"/>
    <w:basedOn w:val="BodyText"/>
    <w:rsid w:val="00702B71"/>
    <w:pPr>
      <w:spacing w:before="0" w:after="0"/>
      <w:jc w:val="right"/>
    </w:pPr>
  </w:style>
  <w:style w:type="paragraph" w:styleId="Index3">
    <w:name w:val="index 3"/>
    <w:basedOn w:val="ListNumber2"/>
    <w:next w:val="Normal"/>
    <w:semiHidden/>
    <w:rsid w:val="00702B71"/>
    <w:pPr>
      <w:numPr>
        <w:numId w:val="0"/>
      </w:numPr>
      <w:tabs>
        <w:tab w:val="right" w:leader="dot" w:pos="4176"/>
      </w:tabs>
    </w:pPr>
  </w:style>
  <w:style w:type="paragraph" w:styleId="ListNumber2">
    <w:name w:val="List Number 2"/>
    <w:basedOn w:val="List2"/>
    <w:rsid w:val="00702B71"/>
    <w:pPr>
      <w:numPr>
        <w:numId w:val="9"/>
      </w:numPr>
      <w:tabs>
        <w:tab w:val="clear" w:pos="1060"/>
      </w:tabs>
    </w:pPr>
  </w:style>
  <w:style w:type="paragraph" w:customStyle="1" w:styleId="MarginNote">
    <w:name w:val="Margin Note"/>
    <w:basedOn w:val="BodyText"/>
    <w:rsid w:val="00702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2B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B71"/>
    <w:rPr>
      <w:sz w:val="32"/>
    </w:rPr>
  </w:style>
  <w:style w:type="paragraph" w:customStyle="1" w:styleId="HeadingProcedure">
    <w:name w:val="Heading Procedure"/>
    <w:basedOn w:val="HeadingBase"/>
    <w:next w:val="Normal"/>
    <w:rsid w:val="00702B71"/>
    <w:pPr>
      <w:tabs>
        <w:tab w:val="left" w:pos="0"/>
      </w:tabs>
      <w:spacing w:before="120" w:after="60"/>
    </w:pPr>
    <w:rPr>
      <w:i/>
      <w:color w:val="918585"/>
      <w:sz w:val="22"/>
    </w:rPr>
  </w:style>
  <w:style w:type="paragraph" w:customStyle="1" w:styleId="TableBodyText">
    <w:name w:val="Table Body Text"/>
    <w:basedOn w:val="BodyText"/>
    <w:rsid w:val="00702B71"/>
    <w:pPr>
      <w:spacing w:before="60" w:after="60"/>
    </w:pPr>
  </w:style>
  <w:style w:type="paragraph" w:styleId="ListContinue">
    <w:name w:val="List Continue"/>
    <w:basedOn w:val="List"/>
    <w:rsid w:val="00702B71"/>
    <w:pPr>
      <w:ind w:firstLine="0"/>
    </w:pPr>
  </w:style>
  <w:style w:type="paragraph" w:customStyle="1" w:styleId="ListNote">
    <w:name w:val="List Note"/>
    <w:basedOn w:val="List"/>
    <w:rsid w:val="00702B71"/>
    <w:pPr>
      <w:pBdr>
        <w:top w:val="single" w:sz="6" w:space="2" w:color="918585"/>
        <w:bottom w:val="single" w:sz="6" w:space="2" w:color="918585"/>
      </w:pBdr>
      <w:tabs>
        <w:tab w:val="left" w:pos="1021"/>
      </w:tabs>
      <w:ind w:firstLine="0"/>
    </w:pPr>
  </w:style>
  <w:style w:type="paragraph" w:customStyle="1" w:styleId="Warning">
    <w:name w:val="Warning"/>
    <w:basedOn w:val="BodyText"/>
    <w:rsid w:val="00702B71"/>
    <w:pPr>
      <w:shd w:val="clear" w:color="auto" w:fill="D9D9D9"/>
      <w:tabs>
        <w:tab w:val="left" w:pos="992"/>
      </w:tabs>
      <w:ind w:left="119" w:right="119"/>
    </w:pPr>
    <w:rPr>
      <w:sz w:val="20"/>
    </w:rPr>
  </w:style>
  <w:style w:type="paragraph" w:customStyle="1" w:styleId="MarginIcons">
    <w:name w:val="Margin Icons"/>
    <w:basedOn w:val="BodyText"/>
    <w:rsid w:val="00702B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2B71"/>
    <w:rPr>
      <w:rFonts w:ascii="Courier New" w:hAnsi="Courier New"/>
    </w:rPr>
  </w:style>
  <w:style w:type="paragraph" w:customStyle="1" w:styleId="NoteBullet">
    <w:name w:val="Note Bullet"/>
    <w:basedOn w:val="Note"/>
    <w:rsid w:val="00702B71"/>
    <w:pPr>
      <w:tabs>
        <w:tab w:val="clear" w:pos="680"/>
      </w:tabs>
      <w:spacing w:before="60" w:after="60"/>
    </w:pPr>
  </w:style>
  <w:style w:type="paragraph" w:customStyle="1" w:styleId="SubHeading2">
    <w:name w:val="SubHeading2"/>
    <w:basedOn w:val="HeadingBase"/>
    <w:rsid w:val="00702B71"/>
    <w:pPr>
      <w:spacing w:before="240" w:after="60"/>
    </w:pPr>
    <w:rPr>
      <w:sz w:val="20"/>
    </w:rPr>
  </w:style>
  <w:style w:type="paragraph" w:customStyle="1" w:styleId="SubHeading1">
    <w:name w:val="SubHeading1"/>
    <w:basedOn w:val="HeadingBase"/>
    <w:rsid w:val="00702B71"/>
    <w:pPr>
      <w:spacing w:before="240" w:after="60"/>
    </w:pPr>
    <w:rPr>
      <w:color w:val="918585"/>
      <w:sz w:val="22"/>
    </w:rPr>
  </w:style>
  <w:style w:type="paragraph" w:customStyle="1" w:styleId="SideHeading">
    <w:name w:val="Side Heading"/>
    <w:basedOn w:val="HeadingBase"/>
    <w:rsid w:val="00702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B71"/>
    <w:pPr>
      <w:tabs>
        <w:tab w:val="num" w:pos="360"/>
      </w:tabs>
    </w:pPr>
  </w:style>
  <w:style w:type="paragraph" w:styleId="PlainText">
    <w:name w:val="Plain Text"/>
    <w:basedOn w:val="Normal"/>
    <w:link w:val="PlainTextChar"/>
    <w:rsid w:val="00702B71"/>
    <w:rPr>
      <w:sz w:val="20"/>
    </w:rPr>
  </w:style>
  <w:style w:type="character" w:customStyle="1" w:styleId="PlainTextChar">
    <w:name w:val="Plain Text Char"/>
    <w:basedOn w:val="DefaultParagraphFont"/>
    <w:link w:val="PlainText"/>
    <w:rsid w:val="00702B71"/>
    <w:rPr>
      <w:rFonts w:ascii="Courier New" w:eastAsia="Times New Roman" w:hAnsi="Courier New" w:cs="Times New Roman"/>
      <w:sz w:val="20"/>
      <w:szCs w:val="20"/>
      <w:lang w:val="en-US" w:eastAsia="en-US"/>
    </w:rPr>
  </w:style>
  <w:style w:type="character" w:customStyle="1" w:styleId="MenuOption">
    <w:name w:val="Menu Option"/>
    <w:rsid w:val="00702B71"/>
    <w:rPr>
      <w:b/>
      <w:smallCaps/>
    </w:rPr>
  </w:style>
  <w:style w:type="paragraph" w:customStyle="1" w:styleId="TableListNumber">
    <w:name w:val="Table List Number"/>
    <w:basedOn w:val="ListNumber"/>
    <w:rsid w:val="00702B71"/>
    <w:pPr>
      <w:numPr>
        <w:numId w:val="0"/>
      </w:numPr>
    </w:pPr>
  </w:style>
  <w:style w:type="paragraph" w:styleId="TOC4">
    <w:name w:val="toc 4"/>
    <w:basedOn w:val="TOCBase"/>
    <w:next w:val="Normal"/>
    <w:semiHidden/>
    <w:rsid w:val="00702B71"/>
    <w:pPr>
      <w:tabs>
        <w:tab w:val="right" w:leader="dot" w:pos="9071"/>
      </w:tabs>
      <w:ind w:left="1701"/>
    </w:pPr>
  </w:style>
  <w:style w:type="paragraph" w:customStyle="1" w:styleId="ListAlpha">
    <w:name w:val="List Alpha"/>
    <w:basedOn w:val="List"/>
    <w:rsid w:val="00702B71"/>
    <w:pPr>
      <w:numPr>
        <w:numId w:val="8"/>
      </w:numPr>
    </w:pPr>
  </w:style>
  <w:style w:type="paragraph" w:customStyle="1" w:styleId="ListAlpha2">
    <w:name w:val="List Alpha 2"/>
    <w:basedOn w:val="List2"/>
    <w:rsid w:val="00702B71"/>
    <w:pPr>
      <w:numPr>
        <w:numId w:val="7"/>
      </w:numPr>
    </w:pPr>
  </w:style>
  <w:style w:type="paragraph" w:styleId="List2">
    <w:name w:val="List 2"/>
    <w:basedOn w:val="BodyText"/>
    <w:rsid w:val="00702B71"/>
    <w:pPr>
      <w:tabs>
        <w:tab w:val="left" w:pos="680"/>
      </w:tabs>
      <w:spacing w:before="60" w:after="60"/>
      <w:ind w:left="680" w:hanging="340"/>
    </w:pPr>
  </w:style>
  <w:style w:type="paragraph" w:styleId="List3">
    <w:name w:val="List 3"/>
    <w:basedOn w:val="BodyText"/>
    <w:rsid w:val="00702B71"/>
    <w:pPr>
      <w:tabs>
        <w:tab w:val="left" w:pos="1021"/>
      </w:tabs>
      <w:spacing w:before="60" w:after="60"/>
      <w:ind w:left="1020" w:hanging="340"/>
    </w:pPr>
  </w:style>
  <w:style w:type="paragraph" w:styleId="List4">
    <w:name w:val="List 4"/>
    <w:basedOn w:val="BodyText"/>
    <w:rsid w:val="00702B71"/>
    <w:pPr>
      <w:tabs>
        <w:tab w:val="left" w:pos="1361"/>
      </w:tabs>
      <w:spacing w:before="60" w:after="60"/>
      <w:ind w:left="1361" w:hanging="340"/>
    </w:pPr>
  </w:style>
  <w:style w:type="paragraph" w:styleId="List5">
    <w:name w:val="List 5"/>
    <w:basedOn w:val="BodyText"/>
    <w:rsid w:val="00702B71"/>
    <w:pPr>
      <w:tabs>
        <w:tab w:val="left" w:pos="1701"/>
      </w:tabs>
      <w:spacing w:before="60" w:after="60"/>
      <w:ind w:left="1701" w:hanging="340"/>
    </w:pPr>
  </w:style>
  <w:style w:type="paragraph" w:styleId="ListBullet3">
    <w:name w:val="List Bullet 3"/>
    <w:basedOn w:val="List3"/>
    <w:rsid w:val="00702B71"/>
    <w:pPr>
      <w:numPr>
        <w:numId w:val="14"/>
      </w:numPr>
      <w:tabs>
        <w:tab w:val="clear" w:pos="1021"/>
      </w:tabs>
      <w:ind w:left="1037" w:hanging="357"/>
    </w:pPr>
  </w:style>
  <w:style w:type="paragraph" w:styleId="ListBullet4">
    <w:name w:val="List Bullet 4"/>
    <w:basedOn w:val="List4"/>
    <w:rsid w:val="00702B71"/>
    <w:pPr>
      <w:numPr>
        <w:numId w:val="2"/>
      </w:numPr>
    </w:pPr>
  </w:style>
  <w:style w:type="paragraph" w:styleId="ListBullet5">
    <w:name w:val="List Bullet 5"/>
    <w:basedOn w:val="List5"/>
    <w:rsid w:val="00702B71"/>
    <w:pPr>
      <w:numPr>
        <w:numId w:val="3"/>
      </w:numPr>
    </w:pPr>
  </w:style>
  <w:style w:type="paragraph" w:styleId="ListContinue2">
    <w:name w:val="List Continue 2"/>
    <w:basedOn w:val="List2"/>
    <w:rsid w:val="00702B71"/>
    <w:pPr>
      <w:ind w:firstLine="0"/>
    </w:pPr>
  </w:style>
  <w:style w:type="paragraph" w:styleId="ListContinue3">
    <w:name w:val="List Continue 3"/>
    <w:basedOn w:val="List3"/>
    <w:rsid w:val="00702B71"/>
    <w:pPr>
      <w:ind w:left="1021" w:firstLine="0"/>
    </w:pPr>
  </w:style>
  <w:style w:type="paragraph" w:styleId="ListContinue4">
    <w:name w:val="List Continue 4"/>
    <w:basedOn w:val="List4"/>
    <w:rsid w:val="00702B71"/>
    <w:pPr>
      <w:ind w:firstLine="0"/>
    </w:pPr>
  </w:style>
  <w:style w:type="paragraph" w:styleId="ListContinue5">
    <w:name w:val="List Continue 5"/>
    <w:basedOn w:val="List5"/>
    <w:rsid w:val="00702B71"/>
    <w:pPr>
      <w:ind w:firstLine="0"/>
    </w:pPr>
  </w:style>
  <w:style w:type="paragraph" w:styleId="ListNumber3">
    <w:name w:val="List Number 3"/>
    <w:basedOn w:val="List3"/>
    <w:rsid w:val="00702B71"/>
    <w:pPr>
      <w:numPr>
        <w:numId w:val="4"/>
      </w:numPr>
    </w:pPr>
  </w:style>
  <w:style w:type="paragraph" w:styleId="ListNumber4">
    <w:name w:val="List Number 4"/>
    <w:basedOn w:val="List4"/>
    <w:rsid w:val="00702B71"/>
    <w:pPr>
      <w:numPr>
        <w:numId w:val="5"/>
      </w:numPr>
    </w:pPr>
  </w:style>
  <w:style w:type="paragraph" w:styleId="ListNumber5">
    <w:name w:val="List Number 5"/>
    <w:basedOn w:val="List5"/>
    <w:rsid w:val="00702B71"/>
    <w:pPr>
      <w:numPr>
        <w:numId w:val="6"/>
      </w:numPr>
    </w:pPr>
  </w:style>
  <w:style w:type="paragraph" w:styleId="BlockText">
    <w:name w:val="Block Text"/>
    <w:basedOn w:val="Normal"/>
    <w:rsid w:val="00702B71"/>
    <w:pPr>
      <w:spacing w:after="120"/>
      <w:ind w:left="1440" w:right="1440"/>
    </w:pPr>
  </w:style>
  <w:style w:type="character" w:customStyle="1" w:styleId="Subscript">
    <w:name w:val="Subscript"/>
    <w:rsid w:val="00702B71"/>
    <w:rPr>
      <w:sz w:val="16"/>
      <w:vertAlign w:val="subscript"/>
    </w:rPr>
  </w:style>
  <w:style w:type="character" w:customStyle="1" w:styleId="Superscript">
    <w:name w:val="Superscript"/>
    <w:rsid w:val="00702B71"/>
    <w:rPr>
      <w:sz w:val="16"/>
      <w:vertAlign w:val="superscript"/>
    </w:rPr>
  </w:style>
  <w:style w:type="character" w:customStyle="1" w:styleId="Symbols">
    <w:name w:val="Symbols"/>
    <w:rsid w:val="00702B71"/>
    <w:rPr>
      <w:rFonts w:ascii="Symbol" w:hAnsi="Symbol"/>
    </w:rPr>
  </w:style>
  <w:style w:type="character" w:customStyle="1" w:styleId="MenuOptions">
    <w:name w:val="Menu Options"/>
    <w:rsid w:val="00702B71"/>
    <w:rPr>
      <w:rFonts w:ascii="Arial Narrow" w:hAnsi="Arial Narrow"/>
      <w:smallCaps/>
    </w:rPr>
  </w:style>
  <w:style w:type="character" w:customStyle="1" w:styleId="Buttons">
    <w:name w:val="Buttons"/>
    <w:rsid w:val="00702B71"/>
    <w:rPr>
      <w:b/>
    </w:rPr>
  </w:style>
  <w:style w:type="character" w:customStyle="1" w:styleId="Underlined">
    <w:name w:val="Underlined"/>
    <w:rsid w:val="00702B71"/>
    <w:rPr>
      <w:u w:val="single"/>
    </w:rPr>
  </w:style>
  <w:style w:type="paragraph" w:customStyle="1" w:styleId="TableBodyTextRight">
    <w:name w:val="Table Body Text Right"/>
    <w:basedOn w:val="TableBodyText"/>
    <w:rsid w:val="00702B71"/>
    <w:pPr>
      <w:widowControl w:val="0"/>
      <w:autoSpaceDE w:val="0"/>
      <w:autoSpaceDN w:val="0"/>
      <w:adjustRightInd w:val="0"/>
      <w:jc w:val="right"/>
    </w:pPr>
    <w:rPr>
      <w:rFonts w:cs="Arial"/>
      <w:szCs w:val="18"/>
    </w:rPr>
  </w:style>
  <w:style w:type="paragraph" w:customStyle="1" w:styleId="CopyrightText">
    <w:name w:val="Copyright Text"/>
    <w:basedOn w:val="BodyText"/>
    <w:rsid w:val="00702B71"/>
    <w:rPr>
      <w:sz w:val="18"/>
    </w:rPr>
  </w:style>
  <w:style w:type="paragraph" w:customStyle="1" w:styleId="BodySmallRight">
    <w:name w:val="Body Small Right"/>
    <w:basedOn w:val="BodyTextRight"/>
    <w:rsid w:val="00702B71"/>
    <w:rPr>
      <w:sz w:val="18"/>
      <w:szCs w:val="18"/>
    </w:rPr>
  </w:style>
  <w:style w:type="paragraph" w:customStyle="1" w:styleId="MarginEdition">
    <w:name w:val="Margin Edition"/>
    <w:basedOn w:val="MarginNote"/>
    <w:rsid w:val="00702B71"/>
    <w:pPr>
      <w:spacing w:before="0" w:after="0"/>
    </w:pPr>
    <w:rPr>
      <w:rFonts w:ascii="Times New Roman" w:hAnsi="Times New Roman"/>
      <w:color w:val="999999"/>
    </w:rPr>
  </w:style>
  <w:style w:type="paragraph" w:customStyle="1" w:styleId="Spacer">
    <w:name w:val="Spacer"/>
    <w:basedOn w:val="Normal"/>
    <w:rsid w:val="00702B71"/>
    <w:rPr>
      <w:sz w:val="2"/>
      <w:szCs w:val="2"/>
    </w:rPr>
  </w:style>
  <w:style w:type="character" w:customStyle="1" w:styleId="Small">
    <w:name w:val="Small"/>
    <w:rsid w:val="00702B71"/>
    <w:rPr>
      <w:sz w:val="16"/>
    </w:rPr>
  </w:style>
  <w:style w:type="paragraph" w:customStyle="1" w:styleId="WideTable">
    <w:name w:val="Wide Table"/>
    <w:basedOn w:val="Normal"/>
    <w:rsid w:val="00702B71"/>
    <w:pPr>
      <w:ind w:left="-1418"/>
    </w:pPr>
    <w:rPr>
      <w:sz w:val="2"/>
      <w:szCs w:val="2"/>
    </w:rPr>
  </w:style>
  <w:style w:type="character" w:styleId="PageNumber">
    <w:name w:val="page number"/>
    <w:rsid w:val="00702B71"/>
  </w:style>
  <w:style w:type="paragraph" w:styleId="Quote">
    <w:name w:val="Quote"/>
    <w:basedOn w:val="Heading1"/>
    <w:link w:val="QuoteChar"/>
    <w:qFormat/>
    <w:rsid w:val="00702B71"/>
    <w:rPr>
      <w:b w:val="0"/>
      <w:sz w:val="72"/>
      <w:szCs w:val="72"/>
      <w:lang w:val="en-NZ"/>
    </w:rPr>
  </w:style>
  <w:style w:type="character" w:customStyle="1" w:styleId="QuoteChar">
    <w:name w:val="Quote Char"/>
    <w:link w:val="Quote"/>
    <w:rsid w:val="00702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B71"/>
    <w:pPr>
      <w:pageBreakBefore/>
    </w:pPr>
  </w:style>
  <w:style w:type="paragraph" w:customStyle="1" w:styleId="Border">
    <w:name w:val="Border"/>
    <w:basedOn w:val="Normal"/>
    <w:qFormat/>
    <w:rsid w:val="00702B71"/>
    <w:pPr>
      <w:pBdr>
        <w:top w:val="single" w:sz="18" w:space="1" w:color="auto"/>
      </w:pBdr>
    </w:pPr>
    <w:rPr>
      <w:rFonts w:ascii="Times New Roman" w:hAnsi="Times New Roman"/>
      <w:color w:val="FFFFFF"/>
      <w:sz w:val="2"/>
    </w:rPr>
  </w:style>
  <w:style w:type="character" w:styleId="IntenseEmphasis">
    <w:name w:val="Intense Emphasis"/>
    <w:uiPriority w:val="21"/>
    <w:qFormat/>
    <w:rsid w:val="00702B71"/>
    <w:rPr>
      <w:b/>
      <w:bCs/>
      <w:i/>
      <w:iCs/>
      <w:color w:val="auto"/>
    </w:rPr>
  </w:style>
  <w:style w:type="paragraph" w:styleId="IntenseQuote">
    <w:name w:val="Intense Quote"/>
    <w:basedOn w:val="Normal"/>
    <w:next w:val="Normal"/>
    <w:link w:val="IntenseQuoteChar"/>
    <w:uiPriority w:val="30"/>
    <w:qFormat/>
    <w:rsid w:val="00702B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2B71"/>
    <w:rPr>
      <w:rFonts w:ascii="Courier New" w:eastAsia="Times New Roman" w:hAnsi="Courier New" w:cs="Times New Roman"/>
      <w:b/>
      <w:bCs/>
      <w:i/>
      <w:iCs/>
      <w:szCs w:val="20"/>
      <w:lang w:val="en-US" w:eastAsia="en-US"/>
    </w:rPr>
  </w:style>
  <w:style w:type="character" w:styleId="SubtleReference">
    <w:name w:val="Subtle Reference"/>
    <w:uiPriority w:val="31"/>
    <w:qFormat/>
    <w:rsid w:val="00702B71"/>
    <w:rPr>
      <w:smallCaps/>
      <w:color w:val="auto"/>
      <w:u w:val="single"/>
    </w:rPr>
  </w:style>
  <w:style w:type="character" w:styleId="IntenseReference">
    <w:name w:val="Intense Reference"/>
    <w:uiPriority w:val="32"/>
    <w:qFormat/>
    <w:rsid w:val="00702B71"/>
    <w:rPr>
      <w:b/>
      <w:bCs/>
      <w:smallCaps/>
      <w:color w:val="auto"/>
      <w:spacing w:val="5"/>
      <w:u w:val="single"/>
    </w:rPr>
  </w:style>
  <w:style w:type="paragraph" w:customStyle="1" w:styleId="2ColumnHeading">
    <w:name w:val="2Column Heading"/>
    <w:basedOn w:val="BodyText"/>
    <w:qFormat/>
    <w:rsid w:val="00702B71"/>
    <w:pPr>
      <w:spacing w:after="60"/>
      <w:ind w:left="-2268"/>
    </w:pPr>
    <w:rPr>
      <w:b/>
    </w:rPr>
  </w:style>
  <w:style w:type="paragraph" w:customStyle="1" w:styleId="Heading1TOC">
    <w:name w:val="Heading1 TOC"/>
    <w:basedOn w:val="Normal"/>
    <w:qFormat/>
    <w:rsid w:val="00702B71"/>
    <w:pPr>
      <w:spacing w:before="240" w:after="120"/>
    </w:pPr>
    <w:rPr>
      <w:rFonts w:ascii="Times New Roman" w:hAnsi="Times New Roman"/>
      <w:b/>
      <w:sz w:val="32"/>
    </w:rPr>
  </w:style>
  <w:style w:type="paragraph" w:customStyle="1" w:styleId="Heading2TOC">
    <w:name w:val="Heading2 TOC"/>
    <w:basedOn w:val="Normal"/>
    <w:qFormat/>
    <w:rsid w:val="00702B71"/>
    <w:pPr>
      <w:spacing w:before="240" w:after="60"/>
    </w:pPr>
    <w:rPr>
      <w:rFonts w:ascii="Times New Roman" w:hAnsi="Times New Roman"/>
      <w:b/>
      <w:sz w:val="28"/>
    </w:rPr>
  </w:style>
  <w:style w:type="character" w:customStyle="1" w:styleId="Underline">
    <w:name w:val="Underline"/>
    <w:qFormat/>
    <w:rsid w:val="00702B71"/>
    <w:rPr>
      <w:u w:val="single"/>
    </w:rPr>
  </w:style>
  <w:style w:type="character" w:customStyle="1" w:styleId="BoldandItalics">
    <w:name w:val="Bold and Italics"/>
    <w:qFormat/>
    <w:rsid w:val="00702B71"/>
    <w:rPr>
      <w:b/>
      <w:i/>
      <w:u w:val="none"/>
    </w:rPr>
  </w:style>
  <w:style w:type="paragraph" w:styleId="BalloonText">
    <w:name w:val="Balloon Text"/>
    <w:basedOn w:val="Normal"/>
    <w:link w:val="BalloonTextChar"/>
    <w:rsid w:val="00702B71"/>
    <w:rPr>
      <w:rFonts w:ascii="Tahoma" w:hAnsi="Tahoma" w:cs="Tahoma"/>
      <w:sz w:val="16"/>
      <w:szCs w:val="16"/>
    </w:rPr>
  </w:style>
  <w:style w:type="character" w:customStyle="1" w:styleId="BalloonTextChar">
    <w:name w:val="Balloon Text Char"/>
    <w:link w:val="BalloonText"/>
    <w:rsid w:val="00702B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B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2B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1402</Words>
  <Characters>9096</Characters>
  <Application>Microsoft Office Word</Application>
  <DocSecurity>0</DocSecurity>
  <Lines>345</Lines>
  <Paragraphs>175</Paragraphs>
  <ScaleCrop>false</ScaleCrop>
  <Company>Author-it Software Corporation Ltd.</Company>
  <LinksUpToDate>false</LinksUpToDate>
  <CharactersWithSpaces>10428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CHCEDS419A Support flexible learning in an education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2012-05-26T14:32:00Z</dcterms:created>
  <dcterms:modified xsi:type="dcterms:W3CDTF">2012-05-26T14:32:00Z</dcterms:modified>
</cp:coreProperties>
</file>