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66D4" w:rsidP="00A166D4">
      <w:pPr>
        <w:pStyle w:val="Title"/>
      </w:pPr>
      <w:r>
        <w:fldChar w:fldCharType="begin"/>
      </w:r>
      <w:r>
        <w:instrText xml:space="preserve"> TITLE   \* MERGEFORMAT </w:instrText>
      </w:r>
      <w:r>
        <w:fldChar w:fldCharType="separate"/>
      </w:r>
      <w:r>
        <w:t>CHCCSL507A Support clients in decision-making processes</w:t>
      </w:r>
      <w:r>
        <w:fldChar w:fldCharType="end"/>
      </w:r>
    </w:p>
    <w:p w:rsidR="00A166D4" w:rsidP="00A166D4">
      <w:pPr>
        <w:pStyle w:val="Version"/>
        <w:sectPr w:rsidSect="00FC1A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1A02" w:rsidP="00FC1A02">
      <w:pPr>
        <w:pStyle w:val="SuperHeading"/>
      </w:pPr>
      <w:r w:rsidRPr="00FC1A02">
        <w:t>CHCCSL507A Support clients in decision-making processes</w:t>
      </w:r>
    </w:p>
    <w:p w:rsidR="00000000" w:rsidRPr="00FC1A02" w:rsidP="00FC1A02">
      <w:pPr>
        <w:pStyle w:val="Heading1"/>
      </w:pPr>
      <w:bookmarkStart w:id="1" w:name="O_268988"/>
      <w:bookmarkEnd w:id="1"/>
      <w:r w:rsidRPr="00FC1A02">
        <w:t>Modification History</w:t>
      </w:r>
    </w:p>
    <w:p w:rsidR="00000000" w:rsidRPr="00FC1A02" w:rsidP="00FC1A02">
      <w:pPr>
        <w:pStyle w:val="BodyText"/>
      </w:pPr>
      <w:r w:rsidRPr="00FC1A02">
        <w:t>Not Applicable</w:t>
      </w:r>
    </w:p>
    <w:p w:rsidR="00000000" w:rsidRPr="00FC1A02" w:rsidP="00FC1A02">
      <w:pPr>
        <w:pStyle w:val="AllowPageBreak"/>
      </w:pPr>
    </w:p>
    <w:p w:rsidR="00000000" w:rsidRPr="00FC1A02" w:rsidP="00FC1A02">
      <w:pPr>
        <w:pStyle w:val="Heading1"/>
      </w:pPr>
      <w:bookmarkStart w:id="2" w:name="O_195396"/>
      <w:bookmarkEnd w:id="2"/>
      <w:r w:rsidRPr="00FC1A02">
        <w:t>Unit Descriptor</w:t>
      </w:r>
    </w:p>
    <w:tbl>
      <w:tblPr>
        <w:tblW w:w="0" w:type="auto"/>
        <w:tblLayout w:type="fixed"/>
        <w:tblCellMar>
          <w:left w:w="62" w:type="dxa"/>
          <w:right w:w="62" w:type="dxa"/>
        </w:tblCellMar>
        <w:tblLook w:val="0000"/>
      </w:tblPr>
      <w:tblGrid>
        <w:gridCol w:w="3339"/>
        <w:gridCol w:w="5217"/>
      </w:tblGrid>
      <w:tr w:rsidTr="00A166D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C1A02">
            <w:pPr>
              <w:pStyle w:val="BodyText"/>
              <w:rPr>
                <w:lang w:val="en-NZ"/>
              </w:rPr>
            </w:pPr>
            <w:r w:rsidRPr="00FC1A0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C1A02" w:rsidP="00FC1A02">
            <w:pPr>
              <w:pStyle w:val="BodyText"/>
            </w:pPr>
            <w:r w:rsidRPr="00FC1A02">
              <w:t>This unit describes the knowledge and skills required to support clients in planning a course of act</w:t>
            </w:r>
            <w:r w:rsidRPr="00FC1A02">
              <w:t>ion</w:t>
            </w:r>
          </w:p>
        </w:tc>
      </w:tr>
    </w:tbl>
    <w:p w:rsidR="00A166D4" w:rsidP="00FC1A02">
      <w:pPr>
        <w:pStyle w:val="BodyText"/>
      </w:pPr>
    </w:p>
    <w:p w:rsidR="00A166D4" w:rsidP="00FC1A02">
      <w:pPr>
        <w:pStyle w:val="BodyText"/>
      </w:pPr>
    </w:p>
    <w:p w:rsidR="00000000" w:rsidRPr="00FC1A02" w:rsidP="00FC1A02">
      <w:pPr>
        <w:pStyle w:val="Heading1"/>
      </w:pPr>
      <w:bookmarkStart w:id="3" w:name="O_195398"/>
      <w:bookmarkEnd w:id="3"/>
      <w:r w:rsidRPr="00FC1A02">
        <w:t>Application of the Unit</w:t>
      </w:r>
    </w:p>
    <w:tbl>
      <w:tblPr>
        <w:tblW w:w="0" w:type="auto"/>
        <w:tblLayout w:type="fixed"/>
        <w:tblCellMar>
          <w:left w:w="62" w:type="dxa"/>
          <w:right w:w="62" w:type="dxa"/>
        </w:tblCellMar>
        <w:tblLook w:val="0000"/>
      </w:tblPr>
      <w:tblGrid>
        <w:gridCol w:w="3340"/>
        <w:gridCol w:w="5216"/>
      </w:tblGrid>
      <w:tr w:rsidTr="00A166D4">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FC1A02">
            <w:pPr>
              <w:pStyle w:val="BodyText"/>
              <w:rPr>
                <w:lang w:val="en-NZ"/>
              </w:rPr>
            </w:pPr>
            <w:r w:rsidRPr="00FC1A02">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FC1A02" w:rsidP="00FC1A02">
            <w:pPr>
              <w:pStyle w:val="BodyText"/>
            </w:pPr>
            <w:r w:rsidRPr="00FC1A02">
              <w:t>The basic counselling skills described in this unit are intended for application in the context of delivering a range of community services</w:t>
            </w:r>
          </w:p>
          <w:p w:rsidR="00000000" w:rsidRPr="00FC1A02" w:rsidP="00FC1A02">
            <w:pPr>
              <w:pStyle w:val="BodyText"/>
            </w:pPr>
            <w:r w:rsidRPr="00FC1A02">
              <w:t>Assessment may require additional knowledge specific to a particular community services or health sector</w:t>
            </w:r>
          </w:p>
        </w:tc>
      </w:tr>
    </w:tbl>
    <w:p w:rsidR="00A166D4" w:rsidP="00FC1A02">
      <w:pPr>
        <w:pStyle w:val="BodyText"/>
      </w:pPr>
    </w:p>
    <w:p w:rsidR="00A166D4" w:rsidP="00FC1A02">
      <w:pPr>
        <w:pStyle w:val="BodyText"/>
      </w:pPr>
    </w:p>
    <w:p w:rsidR="00000000" w:rsidRPr="00FC1A02" w:rsidP="00FC1A02">
      <w:pPr>
        <w:pStyle w:val="Heading1"/>
      </w:pPr>
      <w:bookmarkStart w:id="4" w:name="O_277248"/>
      <w:bookmarkEnd w:id="4"/>
      <w:r w:rsidRPr="00FC1A02">
        <w:t>Licensing/Regulatory Information</w:t>
      </w:r>
    </w:p>
    <w:p w:rsidR="00000000" w:rsidRPr="00FC1A02" w:rsidP="00FC1A02">
      <w:pPr>
        <w:pStyle w:val="BodyText"/>
      </w:pPr>
      <w:r w:rsidRPr="00FC1A02">
        <w:t>Not Applicable</w:t>
      </w:r>
    </w:p>
    <w:p w:rsidR="00000000" w:rsidRPr="00FC1A02" w:rsidP="00FC1A02">
      <w:pPr>
        <w:pStyle w:val="AllowPageBreak"/>
      </w:pPr>
    </w:p>
    <w:p w:rsidR="00000000" w:rsidRPr="00FC1A02" w:rsidP="00FC1A02">
      <w:pPr>
        <w:pStyle w:val="Heading1"/>
      </w:pPr>
      <w:bookmarkStart w:id="5" w:name="O_283101"/>
      <w:bookmarkEnd w:id="5"/>
      <w:r w:rsidRPr="00FC1A02">
        <w:t>Pre-Requisites</w:t>
      </w:r>
    </w:p>
    <w:p w:rsidR="00000000" w:rsidRPr="00FC1A02" w:rsidP="00FC1A02">
      <w:pPr>
        <w:pStyle w:val="BodyText"/>
      </w:pPr>
      <w:r w:rsidRPr="00FC1A02">
        <w:t>Not Applicable</w:t>
      </w:r>
    </w:p>
    <w:p w:rsidR="00000000" w:rsidRPr="00FC1A02" w:rsidP="00FC1A02">
      <w:pPr>
        <w:pStyle w:val="AllowPageBreak"/>
      </w:pPr>
    </w:p>
    <w:p w:rsidR="00000000" w:rsidRPr="00FC1A02" w:rsidP="00FC1A02">
      <w:pPr>
        <w:pStyle w:val="Heading1"/>
      </w:pPr>
      <w:bookmarkStart w:id="6" w:name="O_195397"/>
      <w:bookmarkEnd w:id="6"/>
      <w:r w:rsidRPr="00FC1A02">
        <w:t>Employability Skills Information</w:t>
      </w:r>
    </w:p>
    <w:tbl>
      <w:tblPr>
        <w:tblW w:w="0" w:type="auto"/>
        <w:tblLayout w:type="fixed"/>
        <w:tblCellMar>
          <w:left w:w="62" w:type="dxa"/>
          <w:right w:w="62" w:type="dxa"/>
        </w:tblCellMar>
        <w:tblLook w:val="0000"/>
      </w:tblPr>
      <w:tblGrid>
        <w:gridCol w:w="3320"/>
        <w:gridCol w:w="5236"/>
      </w:tblGrid>
      <w:tr w:rsidTr="00A166D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C1A02">
            <w:pPr>
              <w:pStyle w:val="BodyText"/>
              <w:rPr>
                <w:lang w:val="en-NZ"/>
              </w:rPr>
            </w:pPr>
            <w:r w:rsidRPr="00FC1A0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C1A02" w:rsidP="00FC1A02">
            <w:pPr>
              <w:pStyle w:val="BodyText"/>
            </w:pPr>
            <w:r w:rsidRPr="00FC1A02">
              <w:t>This unit contains Employability Skills</w:t>
            </w:r>
          </w:p>
        </w:tc>
      </w:tr>
    </w:tbl>
    <w:p w:rsidR="00A166D4" w:rsidP="00FC1A02">
      <w:pPr>
        <w:pStyle w:val="BodyText"/>
      </w:pPr>
    </w:p>
    <w:p w:rsidR="00A166D4" w:rsidP="00FC1A02">
      <w:pPr>
        <w:pStyle w:val="BodyText"/>
      </w:pPr>
    </w:p>
    <w:p w:rsidR="00000000" w:rsidRPr="00FC1A02" w:rsidP="00FC1A02">
      <w:pPr>
        <w:pStyle w:val="Heading1"/>
      </w:pPr>
      <w:bookmarkStart w:id="7" w:name="O_287034"/>
      <w:bookmarkEnd w:id="7"/>
      <w:r w:rsidRPr="00FC1A02">
        <w:t>Elements and Performance Criteria Pre-Content</w:t>
      </w:r>
    </w:p>
    <w:tbl>
      <w:tblPr>
        <w:tblW w:w="0" w:type="auto"/>
        <w:tblLayout w:type="fixed"/>
        <w:tblCellMar>
          <w:left w:w="62" w:type="dxa"/>
          <w:right w:w="62" w:type="dxa"/>
        </w:tblCellMar>
        <w:tblLook w:val="0000"/>
      </w:tblPr>
      <w:tblGrid>
        <w:gridCol w:w="3369"/>
        <w:gridCol w:w="5702"/>
      </w:tblGrid>
      <w:tr w:rsidTr="00A166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C1A02">
            <w:pPr>
              <w:pStyle w:val="BodyText"/>
              <w:rPr>
                <w:lang w:val="en-NZ"/>
              </w:rPr>
            </w:pPr>
            <w:r w:rsidRPr="00FC1A0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C1A02" w:rsidP="00FC1A02">
            <w:pPr>
              <w:pStyle w:val="BodyText"/>
            </w:pPr>
            <w:r w:rsidRPr="00FC1A02">
              <w:t>The Performance Criteria specify</w:t>
            </w:r>
            <w:r w:rsidRPr="00FC1A02">
              <w:t xml:space="preserve"> the level of performance required to demonstrate achievement of the Element. Terms in italics are elaborated in the Range Statement. </w:t>
            </w:r>
          </w:p>
        </w:tc>
      </w:tr>
    </w:tbl>
    <w:p w:rsidR="00000000" w:rsidRPr="00FC1A02" w:rsidP="00FC1A02">
      <w:pPr>
        <w:pStyle w:val="BodyText"/>
      </w:pPr>
    </w:p>
    <w:p w:rsidR="00000000" w:rsidRPr="00FC1A02" w:rsidP="00FC1A02">
      <w:pPr>
        <w:pStyle w:val="AllowPageBreak"/>
      </w:pPr>
    </w:p>
    <w:p w:rsidR="00000000" w:rsidRPr="00FC1A02" w:rsidP="00FC1A02">
      <w:pPr>
        <w:pStyle w:val="Heading1"/>
      </w:pPr>
      <w:bookmarkStart w:id="8" w:name="O_233701"/>
      <w:bookmarkEnd w:id="8"/>
      <w:r w:rsidRPr="00FC1A02">
        <w:t>Elements and Performance Criteria</w:t>
      </w:r>
    </w:p>
    <w:tbl>
      <w:tblPr>
        <w:tblW w:w="0" w:type="auto"/>
        <w:tblLayout w:type="fixed"/>
        <w:tblCellMar>
          <w:left w:w="62" w:type="dxa"/>
          <w:right w:w="62" w:type="dxa"/>
        </w:tblCellMar>
        <w:tblLook w:val="0000"/>
      </w:tblPr>
      <w:tblGrid>
        <w:gridCol w:w="3369"/>
        <w:gridCol w:w="5702"/>
      </w:tblGrid>
      <w:tr w:rsidTr="00A166D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C1A02" w:rsidP="00FC1A02">
            <w:pPr>
              <w:pStyle w:val="BodyText"/>
            </w:pPr>
            <w:r w:rsidRPr="00FC1A0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C1A02">
            <w:pPr>
              <w:pStyle w:val="BodyText"/>
              <w:rPr>
                <w:lang w:val="en-NZ"/>
              </w:rPr>
            </w:pPr>
            <w:r w:rsidRPr="00FC1A02">
              <w:rPr>
                <w:rStyle w:val="SpecialBold"/>
              </w:rPr>
              <w:t>PERFORMANCE CRITERIA</w:t>
            </w:r>
          </w:p>
        </w:tc>
      </w:tr>
      <w:tr w:rsidTr="00A166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C1A02">
            <w:pPr>
              <w:pStyle w:val="List"/>
              <w:rPr>
                <w:lang w:val="en-NZ"/>
              </w:rPr>
            </w:pPr>
            <w:r w:rsidRPr="00FC1A02">
              <w:t>1.</w:t>
            </w:r>
            <w:r w:rsidRPr="00FC1A02">
              <w:tab/>
            </w:r>
            <w:r w:rsidRPr="00FC1A02">
              <w:t>Assist clients in clarifying their aims and requirements</w:t>
            </w:r>
          </w:p>
        </w:tc>
        <w:tc>
          <w:tcPr>
            <w:tcW w:w="5702" w:type="dxa"/>
            <w:tcBorders>
              <w:top w:val="nil"/>
              <w:left w:val="nil"/>
              <w:bottom w:val="nil"/>
              <w:right w:val="nil"/>
            </w:tcBorders>
            <w:tcMar>
              <w:top w:w="0" w:type="dxa"/>
              <w:left w:w="62" w:type="dxa"/>
              <w:bottom w:w="0" w:type="dxa"/>
              <w:right w:w="62" w:type="dxa"/>
            </w:tcMar>
          </w:tcPr>
          <w:p w:rsidR="00000000" w:rsidRPr="00FC1A02" w:rsidP="00FC1A02">
            <w:pPr>
              <w:pStyle w:val="BodyText"/>
            </w:pPr>
            <w:r w:rsidRPr="00FC1A02">
              <w:t>1.1</w:t>
            </w:r>
            <w:r w:rsidRPr="00FC1A02">
              <w:tab/>
              <w:t xml:space="preserve">Clearly explain to clients the policy on record-keeping and confidentiality </w:t>
            </w:r>
          </w:p>
          <w:p w:rsidR="00000000" w:rsidRPr="00FC1A02" w:rsidP="00FC1A02">
            <w:pPr>
              <w:pStyle w:val="BodyText"/>
            </w:pPr>
            <w:r w:rsidRPr="00FC1A02">
              <w:t>1.2</w:t>
            </w:r>
            <w:r w:rsidRPr="00FC1A02">
              <w:tab/>
              <w:t>Encourage clients to identify and explore overall aims, requirements, and ideas for meeting them</w:t>
            </w:r>
          </w:p>
          <w:p w:rsidR="00000000" w:rsidRPr="00FC1A02" w:rsidP="00FC1A02">
            <w:pPr>
              <w:pStyle w:val="BodyText"/>
            </w:pPr>
            <w:r w:rsidRPr="00FC1A02">
              <w:t>1.3</w:t>
            </w:r>
            <w:r w:rsidRPr="00FC1A02">
              <w:tab/>
              <w:t>Encourage cli</w:t>
            </w:r>
            <w:r w:rsidRPr="00FC1A02">
              <w:t>ents to feel at ease and express themselves</w:t>
            </w:r>
          </w:p>
          <w:p w:rsidR="00000000" w:rsidRPr="00FC1A02" w:rsidP="00FC1A02">
            <w:pPr>
              <w:pStyle w:val="BodyText"/>
            </w:pPr>
            <w:r w:rsidRPr="00FC1A02">
              <w:t>1.4</w:t>
            </w:r>
            <w:r w:rsidRPr="00FC1A02">
              <w:tab/>
              <w:t xml:space="preserve">Identify practical goals and requirements, and discuss with clients how these might be modified </w:t>
            </w:r>
          </w:p>
          <w:p w:rsidR="00000000" w:rsidRPr="00FC1A02" w:rsidP="00FC1A02">
            <w:pPr>
              <w:pStyle w:val="BodyText"/>
            </w:pPr>
            <w:r w:rsidRPr="00FC1A02">
              <w:t>1.5</w:t>
            </w:r>
            <w:r w:rsidRPr="00FC1A02">
              <w:tab/>
              <w:t xml:space="preserve">Identify with clients potential courses of action for meeting individual aims and requirements </w:t>
            </w:r>
          </w:p>
          <w:p w:rsidR="00000000" w:rsidRPr="00FC1A02" w:rsidP="00FC1A02">
            <w:pPr>
              <w:pStyle w:val="BodyText"/>
            </w:pPr>
            <w:r w:rsidRPr="00FC1A02">
              <w:t>1.6</w:t>
            </w:r>
            <w:r w:rsidRPr="00FC1A02">
              <w:tab/>
              <w:t>Where a</w:t>
            </w:r>
            <w:r w:rsidRPr="00FC1A02">
              <w:t>ims and requirements of clients cannot be met, refer clients to appropriate alternative sources of guidance and support</w:t>
            </w:r>
          </w:p>
          <w:p w:rsidR="00000000" w:rsidP="00FC1A02">
            <w:pPr>
              <w:pStyle w:val="BodyText"/>
              <w:rPr>
                <w:lang w:val="en-NZ"/>
              </w:rPr>
            </w:pPr>
            <w:r w:rsidRPr="00FC1A02">
              <w:t>1.7</w:t>
            </w:r>
            <w:r w:rsidRPr="00FC1A02">
              <w:tab/>
              <w:t xml:space="preserve">Identify indicators of </w:t>
            </w:r>
            <w:r w:rsidRPr="00FC1A02">
              <w:rPr>
                <w:rStyle w:val="Emphasis"/>
              </w:rPr>
              <w:t>client issues requiring</w:t>
            </w:r>
            <w:r w:rsidRPr="00FC1A02">
              <w:t xml:space="preserve"> </w:t>
            </w:r>
            <w:r w:rsidRPr="00FC1A02">
              <w:rPr>
                <w:rStyle w:val="Emphasis"/>
              </w:rPr>
              <w:t>referral</w:t>
            </w:r>
            <w:r w:rsidRPr="00FC1A02">
              <w:t xml:space="preserve"> and report or refer appropriately, in line with organisation requirements</w:t>
            </w:r>
          </w:p>
        </w:tc>
      </w:tr>
      <w:tr w:rsidTr="00A166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C1A02">
            <w:pPr>
              <w:pStyle w:val="BodyText"/>
              <w:rPr>
                <w:lang w:val="en-NZ"/>
              </w:rPr>
            </w:pPr>
          </w:p>
        </w:tc>
      </w:tr>
      <w:tr w:rsidTr="00A166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C1A02">
            <w:pPr>
              <w:pStyle w:val="List"/>
              <w:rPr>
                <w:lang w:val="en-NZ"/>
              </w:rPr>
            </w:pPr>
            <w:r w:rsidRPr="00FC1A02">
              <w:t>2.</w:t>
            </w:r>
            <w:r w:rsidRPr="00FC1A02">
              <w:tab/>
              <w:t>Enable clients to explore possible courses of action</w:t>
            </w:r>
          </w:p>
        </w:tc>
        <w:tc>
          <w:tcPr>
            <w:tcW w:w="5702" w:type="dxa"/>
            <w:tcBorders>
              <w:top w:val="nil"/>
              <w:left w:val="nil"/>
              <w:bottom w:val="nil"/>
              <w:right w:val="nil"/>
            </w:tcBorders>
            <w:tcMar>
              <w:top w:w="0" w:type="dxa"/>
              <w:left w:w="62" w:type="dxa"/>
              <w:bottom w:w="0" w:type="dxa"/>
              <w:right w:w="62" w:type="dxa"/>
            </w:tcMar>
          </w:tcPr>
          <w:p w:rsidR="00000000" w:rsidRPr="00FC1A02" w:rsidP="00FC1A02">
            <w:pPr>
              <w:pStyle w:val="BodyText"/>
            </w:pPr>
            <w:r w:rsidRPr="00FC1A02">
              <w:t>2.1</w:t>
            </w:r>
            <w:r w:rsidRPr="00FC1A02">
              <w:tab/>
              <w:t xml:space="preserve">Explore with clients factors which could influence the preference for and ability to achieve a course of action </w:t>
            </w:r>
          </w:p>
          <w:p w:rsidR="00000000" w:rsidRPr="00FC1A02" w:rsidP="00FC1A02">
            <w:pPr>
              <w:pStyle w:val="BodyText"/>
            </w:pPr>
            <w:r w:rsidRPr="00FC1A02">
              <w:t>2.2</w:t>
            </w:r>
            <w:r w:rsidRPr="00FC1A02">
              <w:tab/>
              <w:t xml:space="preserve">Explore with clients features of and likely consequences of possible courses </w:t>
            </w:r>
            <w:r w:rsidRPr="00FC1A02">
              <w:t xml:space="preserve">of action </w:t>
            </w:r>
          </w:p>
          <w:p w:rsidR="00000000" w:rsidRPr="00FC1A02" w:rsidP="00FC1A02">
            <w:pPr>
              <w:pStyle w:val="BodyText"/>
            </w:pPr>
            <w:r w:rsidRPr="00FC1A02">
              <w:t>2.3</w:t>
            </w:r>
            <w:r w:rsidRPr="00FC1A02">
              <w:tab/>
              <w:t xml:space="preserve">Check client understanding of what is involved in each course of action </w:t>
            </w:r>
          </w:p>
          <w:p w:rsidR="00000000" w:rsidRPr="00FC1A02" w:rsidP="00FC1A02">
            <w:pPr>
              <w:pStyle w:val="BodyText"/>
            </w:pPr>
            <w:r w:rsidRPr="00FC1A02">
              <w:t>2.4</w:t>
            </w:r>
            <w:r w:rsidRPr="00FC1A02">
              <w:tab/>
              <w:t>Help clients to assess advantages and disadvantages of each possible course of action, and their overall appropriateness for meeting particular client requirements</w:t>
            </w:r>
          </w:p>
          <w:p w:rsidR="00000000" w:rsidRPr="00FC1A02" w:rsidP="00FC1A02">
            <w:pPr>
              <w:pStyle w:val="BodyText"/>
            </w:pPr>
            <w:r w:rsidRPr="00FC1A02">
              <w:t>2.5</w:t>
            </w:r>
            <w:r w:rsidRPr="00FC1A02">
              <w:tab/>
              <w:t>Encourage clients to decide on a course of action and to consider alternatives which could be used if necessary</w:t>
            </w:r>
          </w:p>
          <w:p w:rsidR="00000000" w:rsidP="00FC1A02">
            <w:pPr>
              <w:pStyle w:val="BodyText"/>
              <w:rPr>
                <w:lang w:val="en-NZ"/>
              </w:rPr>
            </w:pPr>
            <w:r w:rsidRPr="00FC1A02">
              <w:t>2.6</w:t>
            </w:r>
            <w:r w:rsidRPr="00FC1A02">
              <w:tab/>
              <w:t>Document decisions and agreed support within organisation guidelines</w:t>
            </w:r>
          </w:p>
        </w:tc>
      </w:tr>
      <w:tr w:rsidTr="00A166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C1A02" w:rsidP="00FC1A02">
            <w:pPr>
              <w:pStyle w:val="BodyText"/>
            </w:pPr>
          </w:p>
        </w:tc>
      </w:tr>
    </w:tbl>
    <w:p w:rsidR="00A166D4" w:rsidP="00FC1A02">
      <w:pPr>
        <w:pStyle w:val="BodyText"/>
      </w:pPr>
    </w:p>
    <w:p w:rsidR="00A166D4" w:rsidP="00FC1A02">
      <w:pPr>
        <w:pStyle w:val="BodyText"/>
      </w:pPr>
    </w:p>
    <w:p w:rsidR="00000000" w:rsidRPr="00FC1A02" w:rsidP="00FC1A02">
      <w:pPr>
        <w:pStyle w:val="Heading1"/>
      </w:pPr>
      <w:bookmarkStart w:id="9" w:name="O_257651"/>
      <w:bookmarkEnd w:id="9"/>
      <w:r w:rsidRPr="00FC1A02">
        <w:t>Required Skills and Knowledge</w:t>
      </w:r>
    </w:p>
    <w:tbl>
      <w:tblPr>
        <w:tblW w:w="0" w:type="auto"/>
        <w:tblLayout w:type="fixed"/>
        <w:tblCellMar>
          <w:left w:w="62" w:type="dxa"/>
          <w:right w:w="62" w:type="dxa"/>
        </w:tblCellMar>
        <w:tblLook w:val="0000"/>
      </w:tblPr>
      <w:tblGrid>
        <w:gridCol w:w="9072"/>
      </w:tblGrid>
      <w:tr w:rsidTr="00A166D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C1A02">
            <w:pPr>
              <w:pStyle w:val="BodyText"/>
              <w:rPr>
                <w:lang w:val="en-NZ"/>
              </w:rPr>
            </w:pPr>
            <w:r w:rsidRPr="00FC1A02">
              <w:rPr>
                <w:rStyle w:val="SpecialBold"/>
              </w:rPr>
              <w:t>REQUIRED SKILLS AND KNOWLEDGE</w:t>
            </w:r>
          </w:p>
        </w:tc>
      </w:tr>
      <w:tr w:rsidTr="00A166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C1A02">
            <w:pPr>
              <w:pStyle w:val="BodyText"/>
              <w:rPr>
                <w:lang w:val="en-NZ"/>
              </w:rPr>
            </w:pPr>
          </w:p>
        </w:tc>
      </w:tr>
      <w:tr w:rsidTr="00A166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C1A02">
            <w:pPr>
              <w:pStyle w:val="BodyText"/>
              <w:rPr>
                <w:lang w:val="en-NZ"/>
              </w:rPr>
            </w:pPr>
            <w:r w:rsidRPr="00FC1A02">
              <w:t>This describes the essential skills and knowledge and their level required for this unit.</w:t>
            </w:r>
          </w:p>
        </w:tc>
      </w:tr>
      <w:tr w:rsidTr="00A166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C1A02">
            <w:pPr>
              <w:pStyle w:val="BodyText"/>
              <w:rPr>
                <w:lang w:val="en-NZ"/>
              </w:rPr>
            </w:pPr>
          </w:p>
        </w:tc>
      </w:tr>
      <w:tr w:rsidTr="00A166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C1A02" w:rsidP="00FC1A02">
            <w:pPr>
              <w:pStyle w:val="BodyText"/>
            </w:pPr>
            <w:r w:rsidRPr="00FC1A02">
              <w:rPr>
                <w:rStyle w:val="Emphasis"/>
              </w:rPr>
              <w:t>Essential knowledge</w:t>
            </w:r>
            <w:r w:rsidRPr="00FC1A02">
              <w:t>:</w:t>
            </w:r>
          </w:p>
          <w:p w:rsidR="00000000" w:rsidRPr="00FC1A02" w:rsidP="00FC1A02">
            <w:pPr>
              <w:pStyle w:val="BodyText"/>
            </w:pPr>
            <w:r w:rsidRPr="00FC1A02">
              <w:t>The candidate must be able to demonstrate essential knowledge required to effectively do the task outlined in</w:t>
            </w:r>
            <w:r w:rsidRPr="00FC1A02">
              <w:t xml:space="preserve"> elements and performance criteria of this unit, manage the task and manage contingencies in the context of the identified work role</w:t>
            </w:r>
          </w:p>
          <w:p w:rsidR="00000000" w:rsidRPr="00FC1A02" w:rsidP="00FC1A02">
            <w:pPr>
              <w:pStyle w:val="BodyText"/>
            </w:pPr>
            <w:r w:rsidRPr="00FC1A02">
              <w:t>These include knowledge of:</w:t>
            </w:r>
          </w:p>
          <w:p w:rsidR="00000000" w:rsidRPr="00FC1A02" w:rsidP="00FC1A02">
            <w:pPr>
              <w:pStyle w:val="ListBullet"/>
            </w:pPr>
            <w:r w:rsidRPr="00FC1A02">
              <w:t>Referral protocols</w:t>
            </w:r>
          </w:p>
          <w:p w:rsidR="00000000" w:rsidRPr="00FC1A02" w:rsidP="00FC1A02">
            <w:pPr>
              <w:pStyle w:val="ListBullet"/>
            </w:pPr>
            <w:r w:rsidRPr="00FC1A02">
              <w:t>Necessary self awareness including:</w:t>
            </w:r>
          </w:p>
          <w:p w:rsidR="00000000" w:rsidRPr="00FC1A02" w:rsidP="00FC1A02">
            <w:pPr>
              <w:pStyle w:val="ListBullet2"/>
            </w:pPr>
            <w:r w:rsidRPr="00FC1A02">
              <w:t>role within the organisation</w:t>
            </w:r>
          </w:p>
          <w:p w:rsidR="00000000" w:rsidRPr="00FC1A02" w:rsidP="00FC1A02">
            <w:pPr>
              <w:pStyle w:val="ListBullet2"/>
            </w:pPr>
            <w:r w:rsidRPr="00FC1A02">
              <w:t>limits of competence and responsibility</w:t>
            </w:r>
          </w:p>
          <w:p w:rsidR="00000000" w:rsidRPr="00FC1A02" w:rsidP="00FC1A02">
            <w:pPr>
              <w:pStyle w:val="ListBullet2"/>
            </w:pPr>
            <w:r w:rsidRPr="00FC1A02">
              <w:t>personal strengths and limitations</w:t>
            </w:r>
          </w:p>
          <w:p w:rsidR="00000000" w:rsidRPr="00FC1A02" w:rsidP="00FC1A02">
            <w:pPr>
              <w:pStyle w:val="ListBullet2"/>
            </w:pPr>
            <w:r w:rsidRPr="00FC1A02">
              <w:t>individual needs for support and supervision</w:t>
            </w:r>
          </w:p>
          <w:p w:rsidR="00000000" w:rsidRPr="00FC1A02" w:rsidP="00FC1A02">
            <w:pPr>
              <w:pStyle w:val="ListBullet2"/>
            </w:pPr>
            <w:r w:rsidRPr="00FC1A02">
              <w:t>capacity to be non-judgemental and/or difficulty with this</w:t>
            </w:r>
          </w:p>
          <w:p w:rsidR="00000000" w:rsidRPr="00FC1A02" w:rsidP="00FC1A02">
            <w:pPr>
              <w:pStyle w:val="ListBullet"/>
            </w:pPr>
            <w:r w:rsidRPr="00FC1A02">
              <w:t>Agency/organisation model/s of counselling and intervention</w:t>
            </w:r>
          </w:p>
          <w:p w:rsidR="00000000" w:rsidRPr="00FC1A02" w:rsidP="00FC1A02">
            <w:pPr>
              <w:pStyle w:val="ListBullet"/>
            </w:pPr>
            <w:r w:rsidRPr="00FC1A02">
              <w:t>Indication of ph</w:t>
            </w:r>
            <w:r w:rsidRPr="00FC1A02">
              <w:t>ysical or mental ill health</w:t>
            </w:r>
          </w:p>
          <w:p w:rsidR="00000000" w:rsidRPr="00FC1A02" w:rsidP="00FC1A02">
            <w:pPr>
              <w:pStyle w:val="ListBullet"/>
            </w:pPr>
            <w:r w:rsidRPr="00FC1A02">
              <w:t>Key and major psychology theories</w:t>
            </w:r>
          </w:p>
          <w:p w:rsidR="00000000" w:rsidRPr="00FC1A02" w:rsidP="00FC1A02">
            <w:pPr>
              <w:pStyle w:val="ListBullet"/>
            </w:pPr>
            <w:r w:rsidRPr="00FC1A02">
              <w:t>Obstacles to counselling process</w:t>
            </w:r>
          </w:p>
          <w:p w:rsidR="00000000" w:rsidRPr="00FC1A02" w:rsidP="00FC1A02">
            <w:pPr>
              <w:pStyle w:val="ListBullet"/>
            </w:pPr>
            <w:r w:rsidRPr="00FC1A02">
              <w:t>Human life stage development</w:t>
            </w:r>
          </w:p>
          <w:p w:rsidR="00000000" w:rsidRPr="00FC1A02" w:rsidP="00FC1A02">
            <w:pPr>
              <w:pStyle w:val="ListBullet"/>
            </w:pPr>
            <w:r w:rsidRPr="00FC1A02">
              <w:t>Policy and principles and procedures to secure and maintain confidentiality including note-taking, record and log keeping and identi</w:t>
            </w:r>
            <w:r w:rsidRPr="00FC1A02">
              <w:t>ty protection</w:t>
            </w:r>
          </w:p>
          <w:p w:rsidR="00000000" w:rsidRPr="00FC1A02" w:rsidP="00FC1A02">
            <w:pPr>
              <w:pStyle w:val="ListBullet"/>
            </w:pPr>
            <w:r w:rsidRPr="00FC1A02">
              <w:t>Relevant legislation and ethical code of practice</w:t>
            </w:r>
          </w:p>
          <w:p w:rsidR="00000000" w:rsidP="00FC1A02">
            <w:pPr>
              <w:pStyle w:val="ListBullet"/>
              <w:rPr>
                <w:lang w:val="en-NZ"/>
              </w:rPr>
            </w:pPr>
            <w:r w:rsidRPr="00FC1A02">
              <w:t>Development of  a range of possible interventions</w:t>
            </w:r>
          </w:p>
        </w:tc>
      </w:tr>
      <w:tr w:rsidTr="00A166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C1A02">
            <w:pPr>
              <w:pStyle w:val="BodyText"/>
              <w:rPr>
                <w:lang w:val="en-NZ"/>
              </w:rPr>
            </w:pPr>
          </w:p>
        </w:tc>
      </w:tr>
      <w:tr w:rsidTr="00A166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C1A02" w:rsidP="00FC1A02">
            <w:pPr>
              <w:pStyle w:val="BodyText"/>
            </w:pPr>
            <w:r w:rsidRPr="00FC1A02">
              <w:rPr>
                <w:rStyle w:val="Emphasis"/>
              </w:rPr>
              <w:t>Essential skills</w:t>
            </w:r>
            <w:r w:rsidRPr="00FC1A02">
              <w:t>:</w:t>
            </w:r>
          </w:p>
          <w:p w:rsidR="00000000" w:rsidRPr="00FC1A02" w:rsidP="00FC1A02">
            <w:pPr>
              <w:pStyle w:val="BodyText"/>
            </w:pPr>
            <w:r w:rsidRPr="00FC1A02">
              <w:t>It is critical that the candidate demonstrate the ability to:</w:t>
            </w:r>
          </w:p>
          <w:p w:rsidR="00000000" w:rsidRPr="00FC1A02" w:rsidP="00FC1A02">
            <w:pPr>
              <w:pStyle w:val="ListBullet"/>
            </w:pPr>
            <w:r w:rsidRPr="00FC1A02">
              <w:t>Work within the counselling framework.</w:t>
            </w:r>
          </w:p>
          <w:p w:rsidR="00000000" w:rsidRPr="00FC1A02" w:rsidP="00FC1A02">
            <w:pPr>
              <w:pStyle w:val="ListBullet"/>
            </w:pPr>
            <w:r w:rsidRPr="00FC1A02">
              <w:t xml:space="preserve">Managing own values so they do not impede effective work and managing the stress of the work </w:t>
            </w:r>
          </w:p>
          <w:p w:rsidR="00000000" w:rsidRPr="00FC1A02" w:rsidP="00FC1A02">
            <w:pPr>
              <w:pStyle w:val="BodyText"/>
            </w:pPr>
          </w:p>
          <w:p w:rsidR="00000000" w:rsidRPr="00FC1A02" w:rsidP="00FC1A02">
            <w:pPr>
              <w:pStyle w:val="BodyText"/>
            </w:pPr>
            <w:r w:rsidRPr="00FC1A02">
              <w:t>In addition, the candidate must be able to effectively do the task outlined in elements and performance criteria of this unit, manage the task and manage conting</w:t>
            </w:r>
            <w:r w:rsidRPr="00FC1A02">
              <w:t>encies in the context of the identified work role</w:t>
            </w:r>
          </w:p>
          <w:p w:rsidR="00000000" w:rsidRPr="00FC1A02" w:rsidP="00FC1A02">
            <w:pPr>
              <w:pStyle w:val="BodyText"/>
            </w:pPr>
            <w:r w:rsidRPr="00FC1A02">
              <w:t>These include the ability to:</w:t>
            </w:r>
          </w:p>
          <w:p w:rsidR="00000000" w:rsidRPr="00FC1A02" w:rsidP="00FC1A02">
            <w:pPr>
              <w:pStyle w:val="ListBullet"/>
            </w:pPr>
            <w:r w:rsidRPr="00FC1A02">
              <w:t>Demonstrate application of skills in:</w:t>
            </w:r>
          </w:p>
          <w:p w:rsidR="00000000" w:rsidRPr="00FC1A02" w:rsidP="00FC1A02">
            <w:pPr>
              <w:pStyle w:val="ListBullet2"/>
            </w:pPr>
            <w:r w:rsidRPr="00FC1A02">
              <w:t>problem solving</w:t>
            </w:r>
          </w:p>
          <w:p w:rsidR="00000000" w:rsidRPr="00FC1A02" w:rsidP="00FC1A02">
            <w:pPr>
              <w:pStyle w:val="ListBullet2"/>
            </w:pPr>
            <w:r w:rsidRPr="00FC1A02">
              <w:t>counselling processes and methods</w:t>
            </w:r>
          </w:p>
          <w:p w:rsidR="00000000" w:rsidRPr="00FC1A02" w:rsidP="00FC1A02">
            <w:pPr>
              <w:pStyle w:val="ListBullet2"/>
            </w:pPr>
            <w:r w:rsidRPr="00FC1A02">
              <w:t>respect for client strengths or particular needs</w:t>
            </w:r>
          </w:p>
          <w:p w:rsidR="00000000" w:rsidRPr="00FC1A02" w:rsidP="00FC1A02">
            <w:pPr>
              <w:pStyle w:val="ListBullet2"/>
            </w:pPr>
            <w:r w:rsidRPr="00FC1A02">
              <w:t>capacity to maintain and critique realistic limits for agency service and client expectations</w:t>
            </w:r>
          </w:p>
          <w:p w:rsidR="00000000" w:rsidP="00FC1A02">
            <w:pPr>
              <w:pStyle w:val="ListBullet"/>
              <w:rPr>
                <w:lang w:val="en-NZ"/>
              </w:rPr>
            </w:pPr>
            <w:r w:rsidRPr="00FC1A02">
              <w:t>Maintain documentation as required, including effective use of relevant information technology in line with occupational health and safety (OHS) guidelines</w:t>
            </w:r>
          </w:p>
        </w:tc>
      </w:tr>
      <w:tr w:rsidTr="00A166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C1A02" w:rsidP="00FC1A02">
            <w:pPr>
              <w:pStyle w:val="BodyText"/>
            </w:pPr>
          </w:p>
        </w:tc>
      </w:tr>
    </w:tbl>
    <w:p w:rsidR="00A166D4" w:rsidP="00FC1A02">
      <w:pPr>
        <w:pStyle w:val="BodyText"/>
      </w:pPr>
    </w:p>
    <w:p w:rsidR="00A166D4" w:rsidP="00FC1A02">
      <w:pPr>
        <w:pStyle w:val="BodyText"/>
      </w:pPr>
    </w:p>
    <w:p w:rsidR="00000000" w:rsidRPr="00FC1A02" w:rsidP="00FC1A02">
      <w:pPr>
        <w:pStyle w:val="Heading1"/>
      </w:pPr>
      <w:bookmarkStart w:id="10" w:name="O_241685"/>
      <w:bookmarkEnd w:id="10"/>
      <w:r w:rsidRPr="00FC1A02">
        <w:t>Evidence Guide</w:t>
      </w:r>
    </w:p>
    <w:tbl>
      <w:tblPr>
        <w:tblW w:w="0" w:type="auto"/>
        <w:tblLayout w:type="fixed"/>
        <w:tblCellMar>
          <w:left w:w="62" w:type="dxa"/>
          <w:right w:w="62" w:type="dxa"/>
        </w:tblCellMar>
        <w:tblLook w:val="0000"/>
      </w:tblPr>
      <w:tblGrid>
        <w:gridCol w:w="3402"/>
        <w:gridCol w:w="5670"/>
      </w:tblGrid>
      <w:tr w:rsidTr="00A166D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C1A02">
            <w:pPr>
              <w:pStyle w:val="BodyText"/>
              <w:rPr>
                <w:lang w:val="en-NZ"/>
              </w:rPr>
            </w:pPr>
            <w:r w:rsidRPr="00FC1A02">
              <w:rPr>
                <w:rStyle w:val="SpecialBold"/>
              </w:rPr>
              <w:t>EVIDENCE GUIDE</w:t>
            </w:r>
          </w:p>
        </w:tc>
      </w:tr>
      <w:tr w:rsidTr="00A166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C1A02">
            <w:pPr>
              <w:pStyle w:val="BodyText"/>
              <w:rPr>
                <w:lang w:val="en-NZ"/>
              </w:rPr>
            </w:pPr>
          </w:p>
        </w:tc>
      </w:tr>
      <w:tr w:rsidTr="00A166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C1A02">
            <w:pPr>
              <w:pStyle w:val="BodyText"/>
              <w:rPr>
                <w:lang w:val="en-NZ"/>
              </w:rPr>
            </w:pPr>
            <w:r w:rsidRPr="00FC1A02">
              <w:t xml:space="preserve">The evidence guide provides advice on assessment and must be read in conjunction with the Performance Criteria, Required Skills and Knowledge, </w:t>
            </w:r>
            <w:r w:rsidRPr="00FC1A02">
              <w:t>the Range Statement and the Assessment Guidelines for this Training Package.</w:t>
            </w:r>
          </w:p>
        </w:tc>
      </w:tr>
      <w:tr w:rsidTr="00A166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C1A02">
            <w:pPr>
              <w:pStyle w:val="BodyText"/>
              <w:rPr>
                <w:lang w:val="en-NZ"/>
              </w:rPr>
            </w:pPr>
          </w:p>
        </w:tc>
      </w:tr>
      <w:tr w:rsidTr="00A166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1A02">
            <w:pPr>
              <w:pStyle w:val="BodyText"/>
              <w:rPr>
                <w:lang w:val="en-NZ"/>
              </w:rPr>
            </w:pPr>
            <w:r w:rsidRPr="00FC1A02">
              <w:rPr>
                <w:rStyle w:val="Emphasis"/>
              </w:rPr>
              <w:t>Critical aspects for assessment and evidence required to demonstrate this unit of competency</w:t>
            </w:r>
            <w:r w:rsidRPr="00FC1A02">
              <w:t xml:space="preserve">: </w:t>
            </w:r>
          </w:p>
        </w:tc>
        <w:tc>
          <w:tcPr>
            <w:tcW w:w="5670" w:type="dxa"/>
            <w:tcBorders>
              <w:top w:val="nil"/>
              <w:left w:val="nil"/>
              <w:bottom w:val="nil"/>
              <w:right w:val="nil"/>
            </w:tcBorders>
            <w:tcMar>
              <w:top w:w="0" w:type="dxa"/>
              <w:left w:w="62" w:type="dxa"/>
              <w:bottom w:w="0" w:type="dxa"/>
              <w:right w:w="62" w:type="dxa"/>
            </w:tcMar>
          </w:tcPr>
          <w:p w:rsidR="00000000" w:rsidRPr="00FC1A02" w:rsidP="00FC1A02">
            <w:pPr>
              <w:pStyle w:val="ListBullet"/>
            </w:pPr>
            <w:r w:rsidRPr="00FC1A02">
              <w:t>The individual being assessed must provide evidence of specified essential kno</w:t>
            </w:r>
            <w:r w:rsidRPr="00FC1A02">
              <w:t>wledge as well as skills</w:t>
            </w:r>
          </w:p>
          <w:p w:rsidR="00000000" w:rsidRPr="00FC1A02" w:rsidP="00FC1A02">
            <w:pPr>
              <w:pStyle w:val="ListBullet"/>
            </w:pPr>
            <w:r w:rsidRPr="00FC1A02">
              <w:t xml:space="preserve">Evidence of competency in this unit will need to be assessed over a period of time in order to gather evidence of performance </w:t>
            </w:r>
          </w:p>
          <w:p w:rsidR="00000000" w:rsidP="00FC1A02">
            <w:pPr>
              <w:pStyle w:val="ListBullet"/>
              <w:rPr>
                <w:lang w:val="en-NZ"/>
              </w:rPr>
            </w:pPr>
            <w:r w:rsidRPr="00FC1A02">
              <w:t>This will include contexts applicable to the work environment, such as actual or simulated workplace sit</w:t>
            </w:r>
            <w:r w:rsidRPr="00FC1A02">
              <w:t>uations involving a combination of direct, indirect and supplementary forms of evidence</w:t>
            </w:r>
          </w:p>
        </w:tc>
      </w:tr>
      <w:tr w:rsidTr="00A166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1A02">
            <w:pPr>
              <w:pStyle w:val="BodyText"/>
              <w:rPr>
                <w:lang w:val="en-NZ"/>
              </w:rPr>
            </w:pPr>
          </w:p>
        </w:tc>
      </w:tr>
      <w:tr w:rsidTr="00A166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1A02">
            <w:pPr>
              <w:pStyle w:val="BodyText"/>
              <w:rPr>
                <w:lang w:val="en-NZ"/>
              </w:rPr>
            </w:pPr>
            <w:r w:rsidRPr="00FC1A02">
              <w:rPr>
                <w:rStyle w:val="Emphasis"/>
              </w:rPr>
              <w:t>Access and equity considerations</w:t>
            </w:r>
            <w:r w:rsidRPr="00FC1A02">
              <w:t>:</w:t>
            </w:r>
          </w:p>
        </w:tc>
        <w:tc>
          <w:tcPr>
            <w:tcW w:w="5670" w:type="dxa"/>
            <w:tcBorders>
              <w:top w:val="nil"/>
              <w:left w:val="nil"/>
              <w:bottom w:val="nil"/>
              <w:right w:val="nil"/>
            </w:tcBorders>
            <w:tcMar>
              <w:top w:w="0" w:type="dxa"/>
              <w:left w:w="62" w:type="dxa"/>
              <w:bottom w:w="0" w:type="dxa"/>
              <w:right w:w="62" w:type="dxa"/>
            </w:tcMar>
          </w:tcPr>
          <w:p w:rsidR="00000000" w:rsidRPr="00FC1A02" w:rsidP="00FC1A02">
            <w:pPr>
              <w:pStyle w:val="ListBullet"/>
            </w:pPr>
            <w:r w:rsidRPr="00FC1A02">
              <w:t>All workers in community services should be aware of access, equity and human rights issues in relation to their own area of work</w:t>
            </w:r>
          </w:p>
          <w:p w:rsidR="00000000" w:rsidRPr="00FC1A02" w:rsidP="00FC1A02">
            <w:pPr>
              <w:pStyle w:val="ListBullet"/>
            </w:pPr>
            <w:r w:rsidRPr="00FC1A02">
              <w:t xml:space="preserve">All workers should develop their ability to work in a culturally diverse environment </w:t>
            </w:r>
          </w:p>
          <w:p w:rsidR="00000000" w:rsidRPr="00FC1A02" w:rsidP="00FC1A02">
            <w:pPr>
              <w:pStyle w:val="ListBullet"/>
            </w:pPr>
            <w:r w:rsidRPr="00FC1A02">
              <w:t>In recognition of particular issues facing Aboriginal and Torres Strait Islander communities, workers should be aware of cultural, historical and current issues impactin</w:t>
            </w:r>
            <w:r w:rsidRPr="00FC1A02">
              <w:t>g on Aboriginal and Torres Strait Islander people</w:t>
            </w:r>
          </w:p>
          <w:p w:rsidR="00000000" w:rsidP="00FC1A02">
            <w:pPr>
              <w:pStyle w:val="ListBullet"/>
              <w:rPr>
                <w:lang w:val="en-NZ"/>
              </w:rPr>
            </w:pPr>
            <w:r w:rsidRPr="00FC1A02">
              <w:t>Assessors and trainers must take into account relevant access and equity issues, in particular relating to factors impacting on Aboriginal and/or Torres Strait Islander clients and communities</w:t>
            </w:r>
          </w:p>
        </w:tc>
      </w:tr>
      <w:tr w:rsidTr="00A166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1A02">
            <w:pPr>
              <w:pStyle w:val="BodyText"/>
              <w:rPr>
                <w:lang w:val="en-NZ"/>
              </w:rPr>
            </w:pPr>
          </w:p>
        </w:tc>
      </w:tr>
      <w:tr w:rsidTr="00A166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1A02">
            <w:pPr>
              <w:pStyle w:val="BodyText"/>
              <w:rPr>
                <w:lang w:val="en-NZ"/>
              </w:rPr>
            </w:pPr>
            <w:r w:rsidRPr="00FC1A02">
              <w:rPr>
                <w:rStyle w:val="Emphasis"/>
              </w:rPr>
              <w:t>Context o</w:t>
            </w:r>
            <w:r w:rsidRPr="00FC1A02">
              <w:rPr>
                <w:rStyle w:val="Emphasis"/>
              </w:rPr>
              <w:t>f and specific resources for assessment</w:t>
            </w:r>
            <w:r w:rsidRPr="00FC1A02">
              <w:t xml:space="preserve">: </w:t>
            </w:r>
          </w:p>
        </w:tc>
        <w:tc>
          <w:tcPr>
            <w:tcW w:w="5670" w:type="dxa"/>
            <w:tcBorders>
              <w:top w:val="nil"/>
              <w:left w:val="nil"/>
              <w:bottom w:val="nil"/>
              <w:right w:val="nil"/>
            </w:tcBorders>
            <w:tcMar>
              <w:top w:w="0" w:type="dxa"/>
              <w:left w:w="62" w:type="dxa"/>
              <w:bottom w:w="0" w:type="dxa"/>
              <w:right w:w="62" w:type="dxa"/>
            </w:tcMar>
          </w:tcPr>
          <w:p w:rsidR="00000000" w:rsidRPr="00FC1A02" w:rsidP="00FC1A02">
            <w:pPr>
              <w:pStyle w:val="ListBullet"/>
            </w:pPr>
            <w:r w:rsidRPr="00FC1A02">
              <w:t>This unit can be delivered and assessed independently, however holistic assessment practice with other community services units of competency is encouraged</w:t>
            </w:r>
          </w:p>
          <w:p w:rsidR="00000000" w:rsidP="00FC1A02">
            <w:pPr>
              <w:pStyle w:val="ListBullet"/>
              <w:rPr>
                <w:lang w:val="en-NZ"/>
              </w:rPr>
            </w:pPr>
            <w:r w:rsidRPr="00FC1A02">
              <w:t>Resource requirements for assessment include access to an</w:t>
            </w:r>
            <w:r w:rsidRPr="00FC1A02">
              <w:t xml:space="preserve"> appropriate workplace or an environment capable of accurately simulating the workplace for assessment purposes</w:t>
            </w:r>
          </w:p>
        </w:tc>
      </w:tr>
      <w:tr w:rsidTr="00A166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1A02">
            <w:pPr>
              <w:pStyle w:val="BodyText"/>
              <w:rPr>
                <w:lang w:val="en-NZ"/>
              </w:rPr>
            </w:pPr>
          </w:p>
        </w:tc>
      </w:tr>
      <w:tr w:rsidTr="00A166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1A02">
            <w:pPr>
              <w:pStyle w:val="BodyText"/>
              <w:rPr>
                <w:lang w:val="en-NZ"/>
              </w:rPr>
            </w:pPr>
            <w:r w:rsidRPr="00FC1A02">
              <w:rPr>
                <w:rStyle w:val="Emphasis"/>
              </w:rPr>
              <w:t>Method of assessment</w:t>
            </w:r>
            <w:r w:rsidRPr="00FC1A02">
              <w:t>:</w:t>
            </w:r>
          </w:p>
        </w:tc>
        <w:tc>
          <w:tcPr>
            <w:tcW w:w="5670" w:type="dxa"/>
            <w:tcBorders>
              <w:top w:val="nil"/>
              <w:left w:val="nil"/>
              <w:bottom w:val="nil"/>
              <w:right w:val="nil"/>
            </w:tcBorders>
            <w:tcMar>
              <w:top w:w="0" w:type="dxa"/>
              <w:left w:w="62" w:type="dxa"/>
              <w:bottom w:w="0" w:type="dxa"/>
              <w:right w:w="62" w:type="dxa"/>
            </w:tcMar>
          </w:tcPr>
          <w:p w:rsidR="00000000" w:rsidRPr="00FC1A02" w:rsidP="00FC1A02">
            <w:pPr>
              <w:pStyle w:val="ListBullet"/>
            </w:pPr>
            <w:r w:rsidRPr="00FC1A02">
              <w:t xml:space="preserve">For valid and reliable assessment of this unit, competency should be demonstrated in a range of situations which </w:t>
            </w:r>
            <w:r w:rsidRPr="00FC1A02">
              <w:rPr>
                <w:rStyle w:val="BoldandItalics"/>
              </w:rPr>
              <w:t>may</w:t>
            </w:r>
            <w:r w:rsidRPr="00FC1A02">
              <w:t xml:space="preserve"> include:</w:t>
            </w:r>
          </w:p>
          <w:p w:rsidR="00000000" w:rsidRPr="00FC1A02" w:rsidP="00FC1A02">
            <w:pPr>
              <w:pStyle w:val="ListBullet2"/>
            </w:pPr>
            <w:r w:rsidRPr="00FC1A02">
              <w:t>observation of performance in an actual workplace or in a setting that realistically simulates work conditions:</w:t>
            </w:r>
          </w:p>
          <w:p w:rsidR="00000000" w:rsidRPr="00FC1A02" w:rsidP="00FC1A02">
            <w:pPr>
              <w:pStyle w:val="ListBullet2"/>
            </w:pPr>
            <w:r w:rsidRPr="00FC1A02">
              <w:t>observation should include key a</w:t>
            </w:r>
            <w:r w:rsidRPr="00FC1A02">
              <w:t>spects described in elements, performance criteria and relevant aspects of the Range Statement of the unit</w:t>
            </w:r>
          </w:p>
          <w:p w:rsidR="00000000" w:rsidRPr="00FC1A02" w:rsidP="00FC1A02">
            <w:pPr>
              <w:pStyle w:val="ListBullet2"/>
            </w:pPr>
            <w:r w:rsidRPr="00FC1A02">
              <w:t>where face-to-face observation is not possible, video recordings may be provided</w:t>
            </w:r>
          </w:p>
          <w:p w:rsidR="00000000" w:rsidRPr="00FC1A02" w:rsidP="00FC1A02">
            <w:pPr>
              <w:pStyle w:val="ListBullet2"/>
            </w:pPr>
            <w:r w:rsidRPr="00FC1A02">
              <w:t>candidate's critique of their 'performance' to demonstrate cognitive</w:t>
            </w:r>
            <w:r w:rsidRPr="00FC1A02">
              <w:t xml:space="preserve"> understanding of theory</w:t>
            </w:r>
          </w:p>
          <w:p w:rsidR="00000000" w:rsidRPr="00FC1A02" w:rsidP="00FC1A02">
            <w:pPr>
              <w:pStyle w:val="ListBullet2"/>
            </w:pPr>
            <w:r w:rsidRPr="00FC1A02">
              <w:t>written questioning</w:t>
            </w:r>
          </w:p>
          <w:p w:rsidR="00000000" w:rsidRPr="00FC1A02" w:rsidP="00FC1A02">
            <w:pPr>
              <w:pStyle w:val="ListBullet2"/>
            </w:pPr>
            <w:r w:rsidRPr="00FC1A02">
              <w:t>relevant case studies and/or scenarios</w:t>
            </w:r>
          </w:p>
          <w:p w:rsidR="00000000" w:rsidRPr="00FC1A02" w:rsidP="00FC1A02">
            <w:pPr>
              <w:pStyle w:val="ListBullet2"/>
            </w:pPr>
            <w:r w:rsidRPr="00FC1A02">
              <w:t>role play</w:t>
            </w:r>
          </w:p>
          <w:p w:rsidR="00000000" w:rsidP="00FC1A02">
            <w:pPr>
              <w:pStyle w:val="ListBullet2"/>
              <w:rPr>
                <w:lang w:val="en-NZ"/>
              </w:rPr>
            </w:pPr>
            <w:r w:rsidRPr="00FC1A02">
              <w:t>focused discussion</w:t>
            </w:r>
          </w:p>
        </w:tc>
      </w:tr>
      <w:tr w:rsidTr="00A166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1A02">
            <w:pPr>
              <w:pStyle w:val="BodyText"/>
              <w:rPr>
                <w:lang w:val="en-NZ"/>
              </w:rPr>
            </w:pPr>
          </w:p>
        </w:tc>
      </w:tr>
      <w:tr w:rsidTr="00A166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1A02">
            <w:pPr>
              <w:pStyle w:val="BodyText"/>
              <w:rPr>
                <w:lang w:val="en-NZ"/>
              </w:rPr>
            </w:pPr>
            <w:r w:rsidRPr="00FC1A02">
              <w:rPr>
                <w:rStyle w:val="Emphasis"/>
              </w:rPr>
              <w:t>Related units</w:t>
            </w:r>
            <w:r w:rsidRPr="00FC1A02">
              <w:t>:</w:t>
            </w:r>
          </w:p>
        </w:tc>
        <w:tc>
          <w:tcPr>
            <w:tcW w:w="5670" w:type="dxa"/>
            <w:tcBorders>
              <w:top w:val="nil"/>
              <w:left w:val="nil"/>
              <w:bottom w:val="nil"/>
              <w:right w:val="nil"/>
            </w:tcBorders>
            <w:tcMar>
              <w:top w:w="0" w:type="dxa"/>
              <w:left w:w="62" w:type="dxa"/>
              <w:bottom w:w="0" w:type="dxa"/>
              <w:right w:w="62" w:type="dxa"/>
            </w:tcMar>
          </w:tcPr>
          <w:p w:rsidR="00000000" w:rsidRPr="00FC1A02" w:rsidP="00FC1A02">
            <w:pPr>
              <w:pStyle w:val="BodyText"/>
            </w:pPr>
            <w:r w:rsidRPr="00FC1A02">
              <w:t>This unit is recommended to be assessed in conjunction with related unit:</w:t>
            </w:r>
          </w:p>
          <w:p w:rsidR="00000000" w:rsidP="00FC1A02">
            <w:pPr>
              <w:pStyle w:val="ListBullet"/>
              <w:rPr>
                <w:lang w:val="en-NZ"/>
              </w:rPr>
            </w:pPr>
            <w:r w:rsidRPr="00FC1A02">
              <w:t>CHCCSL501A Work within a structured counselling p</w:t>
            </w:r>
            <w:r w:rsidRPr="00FC1A02">
              <w:t>rocess</w:t>
            </w:r>
          </w:p>
        </w:tc>
      </w:tr>
      <w:tr w:rsidTr="00A166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C1A02" w:rsidP="00FC1A02">
            <w:pPr>
              <w:pStyle w:val="BodyText"/>
            </w:pPr>
          </w:p>
        </w:tc>
      </w:tr>
    </w:tbl>
    <w:p w:rsidR="00A166D4" w:rsidP="00FC1A02">
      <w:pPr>
        <w:pStyle w:val="BodyText"/>
      </w:pPr>
    </w:p>
    <w:p w:rsidR="00A166D4" w:rsidP="00FC1A02">
      <w:pPr>
        <w:pStyle w:val="BodyText"/>
      </w:pPr>
    </w:p>
    <w:p w:rsidR="00000000" w:rsidRPr="00FC1A02" w:rsidP="00FC1A02">
      <w:pPr>
        <w:pStyle w:val="Heading1"/>
      </w:pPr>
      <w:bookmarkStart w:id="11" w:name="O_249668"/>
      <w:bookmarkEnd w:id="11"/>
      <w:r w:rsidRPr="00FC1A02">
        <w:t>Range Statement</w:t>
      </w:r>
    </w:p>
    <w:tbl>
      <w:tblPr>
        <w:tblW w:w="0" w:type="auto"/>
        <w:tblLayout w:type="fixed"/>
        <w:tblCellMar>
          <w:left w:w="62" w:type="dxa"/>
          <w:right w:w="62" w:type="dxa"/>
        </w:tblCellMar>
        <w:tblLook w:val="0000"/>
      </w:tblPr>
      <w:tblGrid>
        <w:gridCol w:w="3402"/>
        <w:gridCol w:w="5670"/>
      </w:tblGrid>
      <w:tr w:rsidTr="00A166D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C1A02">
            <w:pPr>
              <w:pStyle w:val="BodyText"/>
              <w:rPr>
                <w:lang w:val="en-NZ"/>
              </w:rPr>
            </w:pPr>
            <w:r w:rsidRPr="00FC1A02">
              <w:rPr>
                <w:rStyle w:val="SpecialBold"/>
              </w:rPr>
              <w:t>RANGE STATEMENT</w:t>
            </w:r>
          </w:p>
        </w:tc>
      </w:tr>
      <w:tr w:rsidTr="00A166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C1A02">
            <w:pPr>
              <w:pStyle w:val="BodyText"/>
              <w:rPr>
                <w:lang w:val="en-NZ"/>
              </w:rPr>
            </w:pPr>
          </w:p>
        </w:tc>
      </w:tr>
      <w:tr w:rsidTr="00A166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C1A02">
            <w:pPr>
              <w:pStyle w:val="BodyText"/>
              <w:rPr>
                <w:lang w:val="en-NZ"/>
              </w:rPr>
            </w:pPr>
            <w:r w:rsidRPr="00FC1A02">
              <w:t xml:space="preserve">The Range Statement relates to the unit of competency as a whole. It allows for different work environments and situations that may affect </w:t>
            </w:r>
            <w:r w:rsidRPr="00FC1A02">
              <w:t>performance. Add any essential operating conditions that may be present with training and assessment depending on the work situation, needs of the candidate, accessibility of the item, and local industry and regional contexts.</w:t>
            </w:r>
          </w:p>
        </w:tc>
      </w:tr>
      <w:tr w:rsidTr="00A166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1A02">
            <w:pPr>
              <w:pStyle w:val="BodyText"/>
              <w:rPr>
                <w:lang w:val="en-NZ"/>
              </w:rPr>
            </w:pPr>
          </w:p>
        </w:tc>
      </w:tr>
      <w:tr w:rsidTr="00A166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1A02">
            <w:pPr>
              <w:pStyle w:val="BodyText"/>
              <w:rPr>
                <w:lang w:val="en-NZ"/>
              </w:rPr>
            </w:pPr>
            <w:r w:rsidRPr="00FC1A02">
              <w:rPr>
                <w:rStyle w:val="Emphasis"/>
              </w:rPr>
              <w:t xml:space="preserve">Referral may include to </w:t>
            </w:r>
            <w:r w:rsidRPr="00FC1A02">
              <w:rPr>
                <w:rStyle w:val="Emphasis"/>
              </w:rPr>
              <w:t>specialist services</w:t>
            </w:r>
            <w:r w:rsidRPr="00FC1A02">
              <w:t>/</w:t>
            </w:r>
            <w:r w:rsidRPr="00FC1A02">
              <w:rPr>
                <w:rStyle w:val="Emphasis"/>
              </w:rPr>
              <w:t>agencies such as</w:t>
            </w:r>
            <w:r w:rsidRPr="00FC1A02">
              <w:t>:</w:t>
            </w:r>
          </w:p>
        </w:tc>
        <w:tc>
          <w:tcPr>
            <w:tcW w:w="5670" w:type="dxa"/>
            <w:tcBorders>
              <w:top w:val="nil"/>
              <w:left w:val="nil"/>
              <w:bottom w:val="nil"/>
              <w:right w:val="nil"/>
            </w:tcBorders>
            <w:tcMar>
              <w:top w:w="0" w:type="dxa"/>
              <w:left w:w="62" w:type="dxa"/>
              <w:bottom w:w="0" w:type="dxa"/>
              <w:right w:w="62" w:type="dxa"/>
            </w:tcMar>
          </w:tcPr>
          <w:p w:rsidR="00000000" w:rsidRPr="00FC1A02" w:rsidP="00FC1A02">
            <w:pPr>
              <w:pStyle w:val="ListBullet"/>
            </w:pPr>
            <w:r w:rsidRPr="00FC1A02">
              <w:t>Medical</w:t>
            </w:r>
          </w:p>
          <w:p w:rsidR="00000000" w:rsidRPr="00FC1A02" w:rsidP="00FC1A02">
            <w:pPr>
              <w:pStyle w:val="ListBullet"/>
            </w:pPr>
            <w:r w:rsidRPr="00FC1A02">
              <w:t>Psychiatric</w:t>
            </w:r>
          </w:p>
          <w:p w:rsidR="00000000" w:rsidRPr="00FC1A02" w:rsidP="00FC1A02">
            <w:pPr>
              <w:pStyle w:val="ListBullet"/>
            </w:pPr>
            <w:r w:rsidRPr="00FC1A02">
              <w:t>Grief and Loss</w:t>
            </w:r>
          </w:p>
          <w:p w:rsidR="00000000" w:rsidRPr="00FC1A02" w:rsidP="00FC1A02">
            <w:pPr>
              <w:pStyle w:val="ListBullet"/>
            </w:pPr>
            <w:r w:rsidRPr="00FC1A02">
              <w:t>Various compulsions (such as gambling)</w:t>
            </w:r>
          </w:p>
          <w:p w:rsidR="00000000" w:rsidP="00FC1A02">
            <w:pPr>
              <w:pStyle w:val="ListBullet"/>
              <w:rPr>
                <w:lang w:val="en-NZ"/>
              </w:rPr>
            </w:pPr>
            <w:r w:rsidRPr="00FC1A02">
              <w:t>Financial counselling</w:t>
            </w:r>
          </w:p>
        </w:tc>
      </w:tr>
      <w:tr w:rsidTr="00A166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1A02">
            <w:pPr>
              <w:pStyle w:val="BodyText"/>
              <w:rPr>
                <w:lang w:val="en-NZ"/>
              </w:rPr>
            </w:pPr>
          </w:p>
        </w:tc>
      </w:tr>
      <w:tr w:rsidTr="00A166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1A02">
            <w:pPr>
              <w:pStyle w:val="BodyText"/>
              <w:rPr>
                <w:lang w:val="en-NZ"/>
              </w:rPr>
            </w:pPr>
            <w:r w:rsidRPr="00FC1A02">
              <w:rPr>
                <w:rStyle w:val="Emphasis"/>
              </w:rPr>
              <w:t>Client issues requiring referral may include</w:t>
            </w:r>
            <w:r w:rsidRPr="00FC1A02">
              <w:t xml:space="preserve">, </w:t>
            </w:r>
            <w:r w:rsidRPr="00FC1A02">
              <w:rPr>
                <w:rStyle w:val="Emphasis"/>
              </w:rPr>
              <w:t>but are not limited to</w:t>
            </w:r>
            <w:r w:rsidRPr="00FC1A02">
              <w:t>:</w:t>
            </w:r>
          </w:p>
        </w:tc>
        <w:tc>
          <w:tcPr>
            <w:tcW w:w="5670" w:type="dxa"/>
            <w:tcBorders>
              <w:top w:val="nil"/>
              <w:left w:val="nil"/>
              <w:bottom w:val="nil"/>
              <w:right w:val="nil"/>
            </w:tcBorders>
            <w:tcMar>
              <w:top w:w="0" w:type="dxa"/>
              <w:left w:w="62" w:type="dxa"/>
              <w:bottom w:w="0" w:type="dxa"/>
              <w:right w:w="62" w:type="dxa"/>
            </w:tcMar>
          </w:tcPr>
          <w:p w:rsidR="00000000" w:rsidRPr="00FC1A02" w:rsidP="00FC1A02">
            <w:pPr>
              <w:pStyle w:val="BodyText"/>
            </w:pPr>
            <w:r w:rsidRPr="00FC1A02">
              <w:t>Indicators relating to potential:</w:t>
            </w:r>
          </w:p>
          <w:p w:rsidR="00000000" w:rsidRPr="00FC1A02" w:rsidP="00FC1A02">
            <w:pPr>
              <w:pStyle w:val="ListBullet"/>
            </w:pPr>
            <w:r w:rsidRPr="00FC1A02">
              <w:t>Chil</w:t>
            </w:r>
            <w:r w:rsidRPr="00FC1A02">
              <w:t>d protection issues</w:t>
            </w:r>
          </w:p>
          <w:p w:rsidR="00000000" w:rsidRPr="00FC1A02" w:rsidP="00FC1A02">
            <w:pPr>
              <w:pStyle w:val="ListBullet"/>
            </w:pPr>
            <w:r w:rsidRPr="00FC1A02">
              <w:t>Suicide prevention/intervention</w:t>
            </w:r>
          </w:p>
          <w:p w:rsidR="00000000" w:rsidRPr="00FC1A02" w:rsidP="00FC1A02">
            <w:pPr>
              <w:pStyle w:val="ListBullet"/>
            </w:pPr>
            <w:r w:rsidRPr="00FC1A02">
              <w:t>Domestic and family violence</w:t>
            </w:r>
          </w:p>
          <w:p w:rsidR="00000000" w:rsidRPr="00FC1A02" w:rsidP="00FC1A02">
            <w:pPr>
              <w:pStyle w:val="ListBullet"/>
            </w:pPr>
            <w:r w:rsidRPr="00FC1A02">
              <w:t>Mental health issues</w:t>
            </w:r>
          </w:p>
          <w:p w:rsidR="00000000" w:rsidP="00FC1A02">
            <w:pPr>
              <w:pStyle w:val="ListBullet"/>
              <w:rPr>
                <w:lang w:val="en-NZ"/>
              </w:rPr>
            </w:pPr>
            <w:r w:rsidRPr="00FC1A02">
              <w:t>Alcohol and other drugs issues</w:t>
            </w:r>
          </w:p>
        </w:tc>
      </w:tr>
      <w:tr w:rsidTr="00A166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C1A02" w:rsidP="00FC1A02">
            <w:pPr>
              <w:pStyle w:val="BodyText"/>
            </w:pPr>
          </w:p>
        </w:tc>
      </w:tr>
    </w:tbl>
    <w:p w:rsidR="00A166D4" w:rsidP="00FC1A02">
      <w:pPr>
        <w:pStyle w:val="BodyText"/>
      </w:pPr>
    </w:p>
    <w:p w:rsidR="00A166D4" w:rsidP="00FC1A02">
      <w:pPr>
        <w:pStyle w:val="BodyText"/>
      </w:pPr>
    </w:p>
    <w:p w:rsidR="00000000" w:rsidRPr="00FC1A02" w:rsidP="00FC1A02">
      <w:pPr>
        <w:pStyle w:val="Heading1"/>
      </w:pPr>
      <w:bookmarkStart w:id="12" w:name="O_293973"/>
      <w:bookmarkEnd w:id="12"/>
      <w:r w:rsidRPr="00FC1A02">
        <w:t>Unit Sector(s)</w:t>
      </w:r>
    </w:p>
    <w:p w:rsidR="00000000" w:rsidRPr="00FC1A02" w:rsidP="00FC1A02">
      <w:pPr>
        <w:pStyle w:val="BodyText"/>
      </w:pPr>
      <w:r w:rsidRPr="00FC1A02">
        <w:t>Not Applicable</w:t>
      </w:r>
    </w:p>
    <w:p w:rsidR="00000000" w:rsidRPr="00FC1A02" w:rsidP="00FC1A02"/>
    <w:sectPr w:rsidSect="00FC1A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A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66D4" w:rsidP="00A166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A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6D4" w:rsidP="00FC1A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166D4" w:rsidP="00FC1A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166D4" w:rsidP="00FC1A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A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66D4" w:rsidP="00A166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A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6D4" w:rsidP="00FC1A02">
    <w:pPr>
      <w:pStyle w:val="Header"/>
      <w:framePr w:wrap="around"/>
    </w:pPr>
    <w:r>
      <w:fldChar w:fldCharType="begin"/>
    </w:r>
    <w:r>
      <w:instrText xml:space="preserve"> TITLE   \* MERGEFORMAT </w:instrText>
    </w:r>
    <w:r>
      <w:fldChar w:fldCharType="separate"/>
    </w:r>
    <w:r>
      <w:t>CHCCSL507A Support clients in decision-making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66D4" w:rsidP="00FC1A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9C2C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741B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D29C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A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1A02"/>
    <w:pPr>
      <w:spacing w:before="360" w:after="60"/>
      <w:outlineLvl w:val="0"/>
    </w:pPr>
    <w:rPr>
      <w:sz w:val="32"/>
    </w:rPr>
  </w:style>
  <w:style w:type="paragraph" w:styleId="Heading2">
    <w:name w:val="heading 2"/>
    <w:basedOn w:val="HeadingBase"/>
    <w:next w:val="BodyText"/>
    <w:link w:val="Heading2Char"/>
    <w:qFormat/>
    <w:rsid w:val="00FC1A02"/>
    <w:pPr>
      <w:keepLines/>
      <w:spacing w:before="240" w:after="120"/>
      <w:outlineLvl w:val="1"/>
    </w:pPr>
    <w:rPr>
      <w:sz w:val="28"/>
      <w:szCs w:val="40"/>
    </w:rPr>
  </w:style>
  <w:style w:type="paragraph" w:styleId="Heading3">
    <w:name w:val="heading 3"/>
    <w:basedOn w:val="HeadingBase"/>
    <w:next w:val="BodyText"/>
    <w:link w:val="Heading3Char"/>
    <w:qFormat/>
    <w:rsid w:val="00FC1A02"/>
    <w:pPr>
      <w:spacing w:before="180" w:after="120"/>
      <w:outlineLvl w:val="2"/>
    </w:pPr>
    <w:rPr>
      <w:spacing w:val="-10"/>
      <w:kern w:val="32"/>
    </w:rPr>
  </w:style>
  <w:style w:type="paragraph" w:styleId="Heading4">
    <w:name w:val="heading 4"/>
    <w:basedOn w:val="HeadingBase"/>
    <w:next w:val="BodyText"/>
    <w:link w:val="Heading4Char"/>
    <w:qFormat/>
    <w:rsid w:val="00FC1A02"/>
    <w:pPr>
      <w:spacing w:before="160" w:after="120"/>
      <w:outlineLvl w:val="3"/>
    </w:pPr>
    <w:rPr>
      <w:sz w:val="22"/>
    </w:rPr>
  </w:style>
  <w:style w:type="paragraph" w:styleId="Heading5">
    <w:name w:val="heading 5"/>
    <w:basedOn w:val="HeadingBase"/>
    <w:next w:val="Normal"/>
    <w:link w:val="Heading5Char"/>
    <w:qFormat/>
    <w:rsid w:val="00FC1A02"/>
    <w:pPr>
      <w:spacing w:before="80"/>
      <w:outlineLvl w:val="4"/>
    </w:pPr>
    <w:rPr>
      <w:color w:val="918585"/>
      <w:sz w:val="20"/>
    </w:rPr>
  </w:style>
  <w:style w:type="paragraph" w:styleId="Heading6">
    <w:name w:val="heading 6"/>
    <w:basedOn w:val="HeadingBase"/>
    <w:next w:val="Normal"/>
    <w:link w:val="Heading6Char"/>
    <w:qFormat/>
    <w:rsid w:val="00FC1A02"/>
    <w:pPr>
      <w:spacing w:before="60"/>
      <w:outlineLvl w:val="5"/>
    </w:pPr>
    <w:rPr>
      <w:color w:val="918585"/>
      <w:sz w:val="20"/>
    </w:rPr>
  </w:style>
  <w:style w:type="paragraph" w:styleId="Heading7">
    <w:name w:val="heading 7"/>
    <w:basedOn w:val="Normal"/>
    <w:next w:val="Normal"/>
    <w:link w:val="Heading7Char"/>
    <w:qFormat/>
    <w:rsid w:val="00FC1A02"/>
    <w:pPr>
      <w:ind w:left="720"/>
      <w:outlineLvl w:val="6"/>
    </w:pPr>
    <w:rPr>
      <w:i/>
    </w:rPr>
  </w:style>
  <w:style w:type="paragraph" w:styleId="Heading8">
    <w:name w:val="heading 8"/>
    <w:basedOn w:val="Normal"/>
    <w:next w:val="Normal"/>
    <w:link w:val="Heading8Char"/>
    <w:qFormat/>
    <w:rsid w:val="00FC1A02"/>
    <w:pPr>
      <w:ind w:left="720"/>
      <w:outlineLvl w:val="7"/>
    </w:pPr>
    <w:rPr>
      <w:i/>
    </w:rPr>
  </w:style>
  <w:style w:type="paragraph" w:styleId="Heading9">
    <w:name w:val="heading 9"/>
    <w:basedOn w:val="Normal"/>
    <w:next w:val="Normal"/>
    <w:link w:val="Heading9Char"/>
    <w:qFormat/>
    <w:rsid w:val="00FC1A02"/>
    <w:pPr>
      <w:ind w:left="720"/>
      <w:outlineLvl w:val="8"/>
    </w:pPr>
    <w:rPr>
      <w:i/>
    </w:rPr>
  </w:style>
  <w:style w:type="character" w:default="1" w:styleId="DefaultParagraphFont">
    <w:name w:val="Default Paragraph Font"/>
    <w:uiPriority w:val="1"/>
    <w:unhideWhenUsed/>
    <w:rsid w:val="00FC1A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1A02"/>
  </w:style>
  <w:style w:type="character" w:customStyle="1" w:styleId="Heading1Char">
    <w:name w:val="Heading 1 Char"/>
    <w:basedOn w:val="DefaultParagraphFont"/>
    <w:link w:val="Heading1"/>
    <w:rsid w:val="00FC1A02"/>
    <w:rPr>
      <w:rFonts w:ascii="Times New Roman" w:eastAsia="Times New Roman" w:hAnsi="Times New Roman" w:cs="Times New Roman"/>
      <w:b/>
      <w:sz w:val="32"/>
      <w:szCs w:val="20"/>
      <w:lang w:eastAsia="en-US"/>
    </w:rPr>
  </w:style>
  <w:style w:type="paragraph" w:styleId="BodyText">
    <w:name w:val="Body Text"/>
    <w:basedOn w:val="Normal"/>
    <w:link w:val="BodyTextChar"/>
    <w:rsid w:val="00FC1A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1A02"/>
    <w:rPr>
      <w:rFonts w:ascii="Times New Roman" w:eastAsia="Times New Roman" w:hAnsi="Times New Roman" w:cs="Times New Roman"/>
      <w:sz w:val="24"/>
      <w:lang w:val="en-US" w:eastAsia="en-US"/>
    </w:rPr>
  </w:style>
  <w:style w:type="paragraph" w:styleId="Footer">
    <w:name w:val="footer"/>
    <w:basedOn w:val="Normal"/>
    <w:link w:val="FooterChar"/>
    <w:rsid w:val="00FC1A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1A02"/>
    <w:rPr>
      <w:rFonts w:ascii="Times New Roman" w:eastAsia="Times New Roman" w:hAnsi="Times New Roman" w:cs="Times New Roman"/>
      <w:sz w:val="16"/>
      <w:lang w:val="en-US" w:eastAsia="en-US"/>
    </w:rPr>
  </w:style>
  <w:style w:type="paragraph" w:styleId="List">
    <w:name w:val="List"/>
    <w:basedOn w:val="BodyText"/>
    <w:next w:val="BodyText"/>
    <w:rsid w:val="00FC1A02"/>
    <w:pPr>
      <w:tabs>
        <w:tab w:val="left" w:pos="340"/>
      </w:tabs>
      <w:spacing w:before="60" w:after="60"/>
      <w:ind w:left="340" w:hanging="340"/>
    </w:pPr>
  </w:style>
  <w:style w:type="paragraph" w:styleId="ListBullet">
    <w:name w:val="List Bullet"/>
    <w:basedOn w:val="List"/>
    <w:rsid w:val="00FC1A02"/>
    <w:pPr>
      <w:numPr>
        <w:numId w:val="13"/>
      </w:numPr>
      <w:tabs>
        <w:tab w:val="clear" w:pos="340"/>
      </w:tabs>
      <w:spacing w:before="40" w:after="40"/>
    </w:pPr>
  </w:style>
  <w:style w:type="character" w:customStyle="1" w:styleId="SpecialBold">
    <w:name w:val="Special Bold"/>
    <w:basedOn w:val="DefaultParagraphFont"/>
    <w:rsid w:val="00FC1A02"/>
    <w:rPr>
      <w:b/>
      <w:spacing w:val="0"/>
    </w:rPr>
  </w:style>
  <w:style w:type="paragraph" w:styleId="ListBullet2">
    <w:name w:val="List Bullet 2"/>
    <w:basedOn w:val="List2"/>
    <w:rsid w:val="00FC1A02"/>
    <w:pPr>
      <w:numPr>
        <w:numId w:val="14"/>
      </w:numPr>
      <w:tabs>
        <w:tab w:val="clear" w:pos="680"/>
      </w:tabs>
    </w:pPr>
  </w:style>
  <w:style w:type="paragraph" w:styleId="Header">
    <w:name w:val="header"/>
    <w:basedOn w:val="Normal"/>
    <w:link w:val="HeaderChar"/>
    <w:rsid w:val="00FC1A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1A0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C1A02"/>
    <w:rPr>
      <w:i/>
    </w:rPr>
  </w:style>
  <w:style w:type="paragraph" w:customStyle="1" w:styleId="SuperHeading">
    <w:name w:val="SuperHeading"/>
    <w:basedOn w:val="Normal"/>
    <w:rsid w:val="00FC1A02"/>
    <w:pPr>
      <w:spacing w:before="240" w:after="120"/>
      <w:outlineLvl w:val="0"/>
    </w:pPr>
    <w:rPr>
      <w:rFonts w:ascii="Times New Roman" w:hAnsi="Times New Roman"/>
      <w:b/>
      <w:sz w:val="28"/>
    </w:rPr>
  </w:style>
  <w:style w:type="paragraph" w:customStyle="1" w:styleId="AllowPageBreak">
    <w:name w:val="AllowPageBreak"/>
    <w:rsid w:val="00FC1A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C1A02"/>
    <w:rPr>
      <w:b/>
      <w:i/>
      <w:u w:val="none"/>
    </w:rPr>
  </w:style>
  <w:style w:type="character" w:customStyle="1" w:styleId="Heading2Char">
    <w:name w:val="Heading 2 Char"/>
    <w:basedOn w:val="DefaultParagraphFont"/>
    <w:link w:val="Heading2"/>
    <w:rsid w:val="00FC1A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1A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1A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1A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1A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1A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1A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1A02"/>
    <w:rPr>
      <w:rFonts w:ascii="Courier New" w:eastAsia="Times New Roman" w:hAnsi="Courier New" w:cs="Times New Roman"/>
      <w:i/>
      <w:szCs w:val="20"/>
      <w:lang w:val="en-US" w:eastAsia="en-US"/>
    </w:rPr>
  </w:style>
  <w:style w:type="paragraph" w:customStyle="1" w:styleId="HeadingBase">
    <w:name w:val="Heading Base"/>
    <w:rsid w:val="00FC1A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1A02"/>
    <w:pPr>
      <w:tabs>
        <w:tab w:val="right" w:leader="dot" w:pos="9072"/>
      </w:tabs>
      <w:ind w:left="567"/>
    </w:pPr>
    <w:rPr>
      <w:szCs w:val="22"/>
    </w:rPr>
  </w:style>
  <w:style w:type="paragraph" w:customStyle="1" w:styleId="TOCBase">
    <w:name w:val="TOC Base"/>
    <w:rsid w:val="00FC1A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1A02"/>
    <w:pPr>
      <w:tabs>
        <w:tab w:val="right" w:leader="dot" w:pos="9072"/>
      </w:tabs>
      <w:spacing w:before="40" w:after="40"/>
      <w:ind w:left="284"/>
    </w:pPr>
    <w:rPr>
      <w:rFonts w:ascii="Times New Roman" w:hAnsi="Times New Roman"/>
    </w:rPr>
  </w:style>
  <w:style w:type="paragraph" w:styleId="TOC1">
    <w:name w:val="toc 1"/>
    <w:basedOn w:val="TOCBase"/>
    <w:next w:val="Normal"/>
    <w:rsid w:val="00FC1A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1A02"/>
    <w:pPr>
      <w:spacing w:before="5040"/>
      <w:jc w:val="center"/>
    </w:pPr>
    <w:rPr>
      <w:sz w:val="48"/>
      <w:szCs w:val="72"/>
      <w:lang w:val="en-US"/>
    </w:rPr>
  </w:style>
  <w:style w:type="character" w:customStyle="1" w:styleId="TitleChar">
    <w:name w:val="Title Char"/>
    <w:basedOn w:val="DefaultParagraphFont"/>
    <w:link w:val="Title"/>
    <w:rsid w:val="00FC1A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1A02"/>
    <w:pPr>
      <w:tabs>
        <w:tab w:val="left" w:pos="3600"/>
        <w:tab w:val="left" w:pos="3958"/>
      </w:tabs>
    </w:pPr>
  </w:style>
  <w:style w:type="paragraph" w:customStyle="1" w:styleId="Note">
    <w:name w:val="Note"/>
    <w:basedOn w:val="BodyText"/>
    <w:rsid w:val="00FC1A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1A02"/>
    <w:pPr>
      <w:framePr w:wrap="auto" w:hAnchor="text" w:y="6049"/>
    </w:pPr>
    <w:rPr>
      <w:color w:val="000000"/>
      <w:sz w:val="40"/>
    </w:rPr>
  </w:style>
  <w:style w:type="paragraph" w:customStyle="1" w:styleId="TOCTitle">
    <w:name w:val="TOCTitle"/>
    <w:basedOn w:val="Heading1"/>
    <w:rsid w:val="00FC1A02"/>
    <w:pPr>
      <w:spacing w:after="240"/>
      <w:jc w:val="center"/>
      <w:outlineLvl w:val="9"/>
    </w:pPr>
    <w:rPr>
      <w:caps/>
    </w:rPr>
  </w:style>
  <w:style w:type="paragraph" w:customStyle="1" w:styleId="Version">
    <w:name w:val="Version"/>
    <w:rsid w:val="00FC1A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1A02"/>
    <w:pPr>
      <w:keepNext w:val="0"/>
      <w:tabs>
        <w:tab w:val="right" w:pos="4176"/>
      </w:tabs>
      <w:ind w:left="198" w:hanging="198"/>
    </w:pPr>
    <w:rPr>
      <w:rFonts w:ascii="Garamond" w:hAnsi="Garamond"/>
    </w:rPr>
  </w:style>
  <w:style w:type="paragraph" w:styleId="IndexHeading">
    <w:name w:val="index heading"/>
    <w:basedOn w:val="Normal"/>
    <w:next w:val="Index1"/>
    <w:semiHidden/>
    <w:rsid w:val="00FC1A02"/>
    <w:pPr>
      <w:spacing w:before="120" w:after="120"/>
    </w:pPr>
    <w:rPr>
      <w:rFonts w:ascii="Arial" w:hAnsi="Arial"/>
      <w:b/>
      <w:color w:val="918585"/>
      <w:sz w:val="24"/>
    </w:rPr>
  </w:style>
  <w:style w:type="paragraph" w:customStyle="1" w:styleId="Chapter">
    <w:name w:val="Chapter"/>
    <w:basedOn w:val="Normal"/>
    <w:rsid w:val="00FC1A02"/>
    <w:pPr>
      <w:spacing w:before="240"/>
    </w:pPr>
    <w:rPr>
      <w:rFonts w:ascii="Times New Roman" w:hAnsi="Times New Roman"/>
      <w:smallCaps/>
      <w:spacing w:val="80"/>
      <w:sz w:val="28"/>
    </w:rPr>
  </w:style>
  <w:style w:type="paragraph" w:customStyle="1" w:styleId="InChapter">
    <w:name w:val="InChapter"/>
    <w:basedOn w:val="Heading3"/>
    <w:rsid w:val="00FC1A02"/>
    <w:pPr>
      <w:spacing w:after="240"/>
      <w:outlineLvl w:val="9"/>
    </w:pPr>
    <w:rPr>
      <w:noProof/>
    </w:rPr>
  </w:style>
  <w:style w:type="paragraph" w:styleId="Index2">
    <w:name w:val="index 2"/>
    <w:basedOn w:val="Normal"/>
    <w:next w:val="Normal"/>
    <w:semiHidden/>
    <w:rsid w:val="00FC1A02"/>
    <w:pPr>
      <w:tabs>
        <w:tab w:val="right" w:pos="4176"/>
      </w:tabs>
      <w:ind w:left="568" w:hanging="284"/>
    </w:pPr>
    <w:rPr>
      <w:rFonts w:ascii="Garamond" w:hAnsi="Garamond"/>
    </w:rPr>
  </w:style>
  <w:style w:type="paragraph" w:customStyle="1" w:styleId="Byline">
    <w:name w:val="Byline"/>
    <w:rsid w:val="00FC1A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1A02"/>
    <w:pPr>
      <w:tabs>
        <w:tab w:val="clear" w:pos="3600"/>
        <w:tab w:val="clear" w:pos="3958"/>
      </w:tabs>
      <w:jc w:val="right"/>
    </w:pPr>
  </w:style>
  <w:style w:type="paragraph" w:styleId="Caption">
    <w:name w:val="caption"/>
    <w:basedOn w:val="BodyText"/>
    <w:next w:val="Normal"/>
    <w:qFormat/>
    <w:rsid w:val="00FC1A02"/>
    <w:pPr>
      <w:framePr w:w="2268" w:hSpace="181" w:vSpace="181" w:wrap="around" w:vAnchor="text" w:hAnchor="page" w:x="1135" w:y="285" w:anchorLock="1"/>
    </w:pPr>
    <w:rPr>
      <w:i/>
    </w:rPr>
  </w:style>
  <w:style w:type="paragraph" w:customStyle="1" w:styleId="MiniTOCTitle">
    <w:name w:val="MiniTOCTitle"/>
    <w:basedOn w:val="Heading4"/>
    <w:rsid w:val="00FC1A02"/>
    <w:pPr>
      <w:spacing w:before="240"/>
      <w:outlineLvl w:val="9"/>
    </w:pPr>
    <w:rPr>
      <w:noProof/>
      <w:sz w:val="24"/>
    </w:rPr>
  </w:style>
  <w:style w:type="paragraph" w:customStyle="1" w:styleId="MiniTOCItem">
    <w:name w:val="MiniTOCItem"/>
    <w:basedOn w:val="ListBullet"/>
    <w:rsid w:val="00FC1A02"/>
    <w:pPr>
      <w:numPr>
        <w:numId w:val="0"/>
      </w:numPr>
      <w:tabs>
        <w:tab w:val="right" w:leader="dot" w:pos="6521"/>
      </w:tabs>
      <w:spacing w:before="0" w:after="0"/>
    </w:pPr>
  </w:style>
  <w:style w:type="paragraph" w:customStyle="1" w:styleId="TOFTitle">
    <w:name w:val="TOFTitle"/>
    <w:basedOn w:val="TOCTitle"/>
    <w:rsid w:val="00FC1A02"/>
  </w:style>
  <w:style w:type="paragraph" w:styleId="TableofFigures">
    <w:name w:val="table of figures"/>
    <w:basedOn w:val="Normal"/>
    <w:next w:val="Normal"/>
    <w:semiHidden/>
    <w:rsid w:val="00FC1A02"/>
    <w:pPr>
      <w:tabs>
        <w:tab w:val="right" w:leader="dot" w:pos="9072"/>
      </w:tabs>
      <w:ind w:left="970" w:hanging="403"/>
    </w:pPr>
    <w:rPr>
      <w:rFonts w:ascii="Times New Roman" w:hAnsi="Times New Roman"/>
      <w:b/>
    </w:rPr>
  </w:style>
  <w:style w:type="paragraph" w:styleId="ListNumber">
    <w:name w:val="List Number"/>
    <w:basedOn w:val="List"/>
    <w:rsid w:val="00FC1A02"/>
    <w:pPr>
      <w:numPr>
        <w:numId w:val="11"/>
      </w:numPr>
    </w:pPr>
  </w:style>
  <w:style w:type="character" w:customStyle="1" w:styleId="WingdingSymbols">
    <w:name w:val="Wingding Symbols"/>
    <w:rsid w:val="00FC1A02"/>
    <w:rPr>
      <w:rFonts w:ascii="Wingdings" w:hAnsi="Wingdings"/>
    </w:rPr>
  </w:style>
  <w:style w:type="paragraph" w:customStyle="1" w:styleId="TableHeading">
    <w:name w:val="Table Heading"/>
    <w:basedOn w:val="HeadingBase"/>
    <w:rsid w:val="00FC1A02"/>
    <w:pPr>
      <w:keepLines/>
      <w:pBdr>
        <w:bottom w:val="single" w:sz="6" w:space="1" w:color="918585"/>
      </w:pBdr>
      <w:spacing w:before="240"/>
    </w:pPr>
  </w:style>
  <w:style w:type="character" w:customStyle="1" w:styleId="HotSpot">
    <w:name w:val="HotSpot"/>
    <w:rsid w:val="00FC1A02"/>
    <w:rPr>
      <w:color w:val="0033CC"/>
      <w:u w:val="none"/>
    </w:rPr>
  </w:style>
  <w:style w:type="paragraph" w:customStyle="1" w:styleId="BodyTextRight">
    <w:name w:val="Body Text Right"/>
    <w:basedOn w:val="BodyText"/>
    <w:rsid w:val="00FC1A02"/>
    <w:pPr>
      <w:spacing w:before="0" w:after="0"/>
      <w:jc w:val="right"/>
    </w:pPr>
  </w:style>
  <w:style w:type="paragraph" w:styleId="Index3">
    <w:name w:val="index 3"/>
    <w:basedOn w:val="ListNumber2"/>
    <w:next w:val="Normal"/>
    <w:semiHidden/>
    <w:rsid w:val="00FC1A02"/>
    <w:pPr>
      <w:numPr>
        <w:numId w:val="0"/>
      </w:numPr>
      <w:tabs>
        <w:tab w:val="right" w:leader="dot" w:pos="4176"/>
      </w:tabs>
    </w:pPr>
  </w:style>
  <w:style w:type="paragraph" w:styleId="ListNumber2">
    <w:name w:val="List Number 2"/>
    <w:basedOn w:val="List2"/>
    <w:rsid w:val="00FC1A02"/>
    <w:pPr>
      <w:numPr>
        <w:numId w:val="10"/>
      </w:numPr>
      <w:tabs>
        <w:tab w:val="clear" w:pos="1060"/>
      </w:tabs>
    </w:pPr>
  </w:style>
  <w:style w:type="paragraph" w:customStyle="1" w:styleId="MarginNote">
    <w:name w:val="Margin Note"/>
    <w:basedOn w:val="BodyText"/>
    <w:rsid w:val="00FC1A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1A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1A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1A02"/>
    <w:rPr>
      <w:sz w:val="32"/>
    </w:rPr>
  </w:style>
  <w:style w:type="paragraph" w:customStyle="1" w:styleId="HeadingProcedure">
    <w:name w:val="Heading Procedure"/>
    <w:basedOn w:val="HeadingBase"/>
    <w:next w:val="Normal"/>
    <w:rsid w:val="00FC1A02"/>
    <w:pPr>
      <w:tabs>
        <w:tab w:val="left" w:pos="0"/>
      </w:tabs>
      <w:spacing w:before="120" w:after="60"/>
    </w:pPr>
    <w:rPr>
      <w:i/>
      <w:color w:val="918585"/>
      <w:sz w:val="22"/>
    </w:rPr>
  </w:style>
  <w:style w:type="paragraph" w:customStyle="1" w:styleId="TableBodyText">
    <w:name w:val="Table Body Text"/>
    <w:basedOn w:val="BodyText"/>
    <w:rsid w:val="00FC1A02"/>
    <w:pPr>
      <w:spacing w:before="60" w:after="60"/>
    </w:pPr>
  </w:style>
  <w:style w:type="paragraph" w:styleId="ListContinue">
    <w:name w:val="List Continue"/>
    <w:basedOn w:val="List"/>
    <w:rsid w:val="00FC1A02"/>
    <w:pPr>
      <w:ind w:firstLine="0"/>
    </w:pPr>
  </w:style>
  <w:style w:type="paragraph" w:customStyle="1" w:styleId="ListNote">
    <w:name w:val="List Note"/>
    <w:basedOn w:val="List"/>
    <w:rsid w:val="00FC1A02"/>
    <w:pPr>
      <w:pBdr>
        <w:top w:val="single" w:sz="6" w:space="2" w:color="918585"/>
        <w:bottom w:val="single" w:sz="6" w:space="2" w:color="918585"/>
      </w:pBdr>
      <w:tabs>
        <w:tab w:val="left" w:pos="1021"/>
      </w:tabs>
      <w:ind w:firstLine="0"/>
    </w:pPr>
  </w:style>
  <w:style w:type="paragraph" w:customStyle="1" w:styleId="Warning">
    <w:name w:val="Warning"/>
    <w:basedOn w:val="BodyText"/>
    <w:rsid w:val="00FC1A02"/>
    <w:pPr>
      <w:shd w:val="clear" w:color="auto" w:fill="D9D9D9"/>
      <w:tabs>
        <w:tab w:val="left" w:pos="992"/>
      </w:tabs>
      <w:ind w:left="119" w:right="119"/>
    </w:pPr>
    <w:rPr>
      <w:sz w:val="20"/>
    </w:rPr>
  </w:style>
  <w:style w:type="paragraph" w:customStyle="1" w:styleId="MarginIcons">
    <w:name w:val="Margin Icons"/>
    <w:basedOn w:val="BodyText"/>
    <w:rsid w:val="00FC1A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1A02"/>
    <w:rPr>
      <w:rFonts w:ascii="Courier New" w:hAnsi="Courier New"/>
    </w:rPr>
  </w:style>
  <w:style w:type="paragraph" w:customStyle="1" w:styleId="NoteBullet">
    <w:name w:val="Note Bullet"/>
    <w:basedOn w:val="Note"/>
    <w:rsid w:val="00FC1A02"/>
    <w:pPr>
      <w:tabs>
        <w:tab w:val="clear" w:pos="680"/>
      </w:tabs>
      <w:spacing w:before="60" w:after="60"/>
    </w:pPr>
  </w:style>
  <w:style w:type="paragraph" w:customStyle="1" w:styleId="SubHeading2">
    <w:name w:val="SubHeading2"/>
    <w:basedOn w:val="HeadingBase"/>
    <w:rsid w:val="00FC1A02"/>
    <w:pPr>
      <w:spacing w:before="240" w:after="60"/>
    </w:pPr>
    <w:rPr>
      <w:sz w:val="20"/>
    </w:rPr>
  </w:style>
  <w:style w:type="paragraph" w:customStyle="1" w:styleId="SubHeading1">
    <w:name w:val="SubHeading1"/>
    <w:basedOn w:val="HeadingBase"/>
    <w:rsid w:val="00FC1A02"/>
    <w:pPr>
      <w:spacing w:before="240" w:after="60"/>
    </w:pPr>
    <w:rPr>
      <w:color w:val="918585"/>
      <w:sz w:val="22"/>
    </w:rPr>
  </w:style>
  <w:style w:type="paragraph" w:customStyle="1" w:styleId="SideHeading">
    <w:name w:val="Side Heading"/>
    <w:basedOn w:val="HeadingBase"/>
    <w:rsid w:val="00FC1A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1A02"/>
    <w:pPr>
      <w:numPr>
        <w:numId w:val="12"/>
      </w:numPr>
    </w:pPr>
  </w:style>
  <w:style w:type="paragraph" w:styleId="PlainText">
    <w:name w:val="Plain Text"/>
    <w:basedOn w:val="Normal"/>
    <w:link w:val="PlainTextChar"/>
    <w:rsid w:val="00FC1A02"/>
    <w:rPr>
      <w:sz w:val="20"/>
    </w:rPr>
  </w:style>
  <w:style w:type="character" w:customStyle="1" w:styleId="PlainTextChar">
    <w:name w:val="Plain Text Char"/>
    <w:basedOn w:val="DefaultParagraphFont"/>
    <w:link w:val="PlainText"/>
    <w:rsid w:val="00FC1A0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1A02"/>
    <w:rPr>
      <w:b/>
      <w:smallCaps/>
    </w:rPr>
  </w:style>
  <w:style w:type="paragraph" w:customStyle="1" w:styleId="TableListNumber">
    <w:name w:val="Table List Number"/>
    <w:basedOn w:val="ListNumber"/>
    <w:rsid w:val="00FC1A02"/>
    <w:pPr>
      <w:numPr>
        <w:numId w:val="0"/>
      </w:numPr>
    </w:pPr>
  </w:style>
  <w:style w:type="paragraph" w:styleId="TOC4">
    <w:name w:val="toc 4"/>
    <w:basedOn w:val="TOCBase"/>
    <w:next w:val="Normal"/>
    <w:semiHidden/>
    <w:rsid w:val="00FC1A02"/>
    <w:pPr>
      <w:tabs>
        <w:tab w:val="right" w:leader="dot" w:pos="9071"/>
      </w:tabs>
      <w:ind w:left="1701"/>
    </w:pPr>
  </w:style>
  <w:style w:type="paragraph" w:customStyle="1" w:styleId="ListAlpha">
    <w:name w:val="List Alpha"/>
    <w:basedOn w:val="List"/>
    <w:rsid w:val="00FC1A02"/>
    <w:pPr>
      <w:numPr>
        <w:numId w:val="9"/>
      </w:numPr>
    </w:pPr>
  </w:style>
  <w:style w:type="paragraph" w:customStyle="1" w:styleId="ListAlpha2">
    <w:name w:val="List Alpha 2"/>
    <w:basedOn w:val="List2"/>
    <w:rsid w:val="00FC1A02"/>
    <w:pPr>
      <w:numPr>
        <w:numId w:val="8"/>
      </w:numPr>
    </w:pPr>
  </w:style>
  <w:style w:type="paragraph" w:styleId="List2">
    <w:name w:val="List 2"/>
    <w:basedOn w:val="BodyText"/>
    <w:rsid w:val="00FC1A02"/>
    <w:pPr>
      <w:tabs>
        <w:tab w:val="left" w:pos="680"/>
      </w:tabs>
      <w:spacing w:before="60" w:after="60"/>
      <w:ind w:left="680" w:hanging="340"/>
    </w:pPr>
  </w:style>
  <w:style w:type="paragraph" w:styleId="List3">
    <w:name w:val="List 3"/>
    <w:basedOn w:val="BodyText"/>
    <w:rsid w:val="00FC1A02"/>
    <w:pPr>
      <w:tabs>
        <w:tab w:val="left" w:pos="1021"/>
      </w:tabs>
      <w:spacing w:before="60" w:after="60"/>
      <w:ind w:left="1020" w:hanging="340"/>
    </w:pPr>
  </w:style>
  <w:style w:type="paragraph" w:styleId="List4">
    <w:name w:val="List 4"/>
    <w:basedOn w:val="BodyText"/>
    <w:rsid w:val="00FC1A02"/>
    <w:pPr>
      <w:tabs>
        <w:tab w:val="left" w:pos="1361"/>
      </w:tabs>
      <w:spacing w:before="60" w:after="60"/>
      <w:ind w:left="1361" w:hanging="340"/>
    </w:pPr>
  </w:style>
  <w:style w:type="paragraph" w:styleId="List5">
    <w:name w:val="List 5"/>
    <w:basedOn w:val="BodyText"/>
    <w:rsid w:val="00FC1A02"/>
    <w:pPr>
      <w:tabs>
        <w:tab w:val="left" w:pos="1701"/>
      </w:tabs>
      <w:spacing w:before="60" w:after="60"/>
      <w:ind w:left="1701" w:hanging="340"/>
    </w:pPr>
  </w:style>
  <w:style w:type="paragraph" w:styleId="ListBullet3">
    <w:name w:val="List Bullet 3"/>
    <w:basedOn w:val="List3"/>
    <w:rsid w:val="00FC1A02"/>
    <w:pPr>
      <w:numPr>
        <w:numId w:val="15"/>
      </w:numPr>
      <w:tabs>
        <w:tab w:val="clear" w:pos="1021"/>
      </w:tabs>
      <w:ind w:left="1037" w:hanging="357"/>
    </w:pPr>
  </w:style>
  <w:style w:type="paragraph" w:styleId="ListBullet4">
    <w:name w:val="List Bullet 4"/>
    <w:basedOn w:val="List4"/>
    <w:rsid w:val="00FC1A02"/>
    <w:pPr>
      <w:numPr>
        <w:numId w:val="3"/>
      </w:numPr>
    </w:pPr>
  </w:style>
  <w:style w:type="paragraph" w:styleId="ListBullet5">
    <w:name w:val="List Bullet 5"/>
    <w:basedOn w:val="List5"/>
    <w:rsid w:val="00FC1A02"/>
    <w:pPr>
      <w:numPr>
        <w:numId w:val="4"/>
      </w:numPr>
    </w:pPr>
  </w:style>
  <w:style w:type="paragraph" w:styleId="ListContinue2">
    <w:name w:val="List Continue 2"/>
    <w:basedOn w:val="List2"/>
    <w:rsid w:val="00FC1A02"/>
    <w:pPr>
      <w:ind w:firstLine="0"/>
    </w:pPr>
  </w:style>
  <w:style w:type="paragraph" w:styleId="ListContinue3">
    <w:name w:val="List Continue 3"/>
    <w:basedOn w:val="List3"/>
    <w:rsid w:val="00FC1A02"/>
    <w:pPr>
      <w:ind w:left="1021" w:firstLine="0"/>
    </w:pPr>
  </w:style>
  <w:style w:type="paragraph" w:styleId="ListContinue4">
    <w:name w:val="List Continue 4"/>
    <w:basedOn w:val="List4"/>
    <w:rsid w:val="00FC1A02"/>
    <w:pPr>
      <w:ind w:firstLine="0"/>
    </w:pPr>
  </w:style>
  <w:style w:type="paragraph" w:styleId="ListContinue5">
    <w:name w:val="List Continue 5"/>
    <w:basedOn w:val="List5"/>
    <w:rsid w:val="00FC1A02"/>
    <w:pPr>
      <w:ind w:firstLine="0"/>
    </w:pPr>
  </w:style>
  <w:style w:type="paragraph" w:styleId="ListNumber3">
    <w:name w:val="List Number 3"/>
    <w:basedOn w:val="List3"/>
    <w:rsid w:val="00FC1A02"/>
    <w:pPr>
      <w:numPr>
        <w:numId w:val="5"/>
      </w:numPr>
    </w:pPr>
  </w:style>
  <w:style w:type="paragraph" w:styleId="ListNumber4">
    <w:name w:val="List Number 4"/>
    <w:basedOn w:val="List4"/>
    <w:rsid w:val="00FC1A02"/>
    <w:pPr>
      <w:numPr>
        <w:numId w:val="6"/>
      </w:numPr>
    </w:pPr>
  </w:style>
  <w:style w:type="paragraph" w:styleId="ListNumber5">
    <w:name w:val="List Number 5"/>
    <w:basedOn w:val="List5"/>
    <w:rsid w:val="00FC1A02"/>
    <w:pPr>
      <w:numPr>
        <w:numId w:val="7"/>
      </w:numPr>
    </w:pPr>
  </w:style>
  <w:style w:type="paragraph" w:styleId="BlockText">
    <w:name w:val="Block Text"/>
    <w:basedOn w:val="Normal"/>
    <w:rsid w:val="00FC1A02"/>
    <w:pPr>
      <w:spacing w:after="120"/>
      <w:ind w:left="1440" w:right="1440"/>
    </w:pPr>
  </w:style>
  <w:style w:type="character" w:customStyle="1" w:styleId="Subscript">
    <w:name w:val="Subscript"/>
    <w:basedOn w:val="DefaultParagraphFont"/>
    <w:rsid w:val="00FC1A02"/>
    <w:rPr>
      <w:sz w:val="16"/>
      <w:vertAlign w:val="subscript"/>
    </w:rPr>
  </w:style>
  <w:style w:type="character" w:customStyle="1" w:styleId="Superscript">
    <w:name w:val="Superscript"/>
    <w:basedOn w:val="DefaultParagraphFont"/>
    <w:rsid w:val="00FC1A02"/>
    <w:rPr>
      <w:sz w:val="16"/>
      <w:vertAlign w:val="superscript"/>
    </w:rPr>
  </w:style>
  <w:style w:type="character" w:customStyle="1" w:styleId="Symbols">
    <w:name w:val="Symbols"/>
    <w:basedOn w:val="DefaultParagraphFont"/>
    <w:rsid w:val="00FC1A02"/>
    <w:rPr>
      <w:rFonts w:ascii="Symbol" w:hAnsi="Symbol"/>
    </w:rPr>
  </w:style>
  <w:style w:type="character" w:customStyle="1" w:styleId="MenuOptions">
    <w:name w:val="Menu Options"/>
    <w:basedOn w:val="DefaultParagraphFont"/>
    <w:rsid w:val="00FC1A02"/>
    <w:rPr>
      <w:rFonts w:ascii="Arial Narrow" w:hAnsi="Arial Narrow"/>
      <w:smallCaps/>
    </w:rPr>
  </w:style>
  <w:style w:type="character" w:customStyle="1" w:styleId="Buttons">
    <w:name w:val="Buttons"/>
    <w:basedOn w:val="DefaultParagraphFont"/>
    <w:rsid w:val="00FC1A02"/>
    <w:rPr>
      <w:b/>
    </w:rPr>
  </w:style>
  <w:style w:type="character" w:customStyle="1" w:styleId="Underlined">
    <w:name w:val="Underlined"/>
    <w:basedOn w:val="DefaultParagraphFont"/>
    <w:rsid w:val="00FC1A02"/>
    <w:rPr>
      <w:u w:val="single"/>
    </w:rPr>
  </w:style>
  <w:style w:type="paragraph" w:customStyle="1" w:styleId="TableBodyTextRight">
    <w:name w:val="Table Body Text Right"/>
    <w:basedOn w:val="TableBodyText"/>
    <w:rsid w:val="00FC1A02"/>
    <w:pPr>
      <w:widowControl w:val="0"/>
      <w:autoSpaceDE w:val="0"/>
      <w:autoSpaceDN w:val="0"/>
      <w:adjustRightInd w:val="0"/>
      <w:jc w:val="right"/>
    </w:pPr>
    <w:rPr>
      <w:rFonts w:cs="Arial"/>
      <w:szCs w:val="18"/>
    </w:rPr>
  </w:style>
  <w:style w:type="paragraph" w:customStyle="1" w:styleId="CopyrightText">
    <w:name w:val="Copyright Text"/>
    <w:basedOn w:val="BodyText"/>
    <w:rsid w:val="00FC1A02"/>
    <w:rPr>
      <w:sz w:val="18"/>
    </w:rPr>
  </w:style>
  <w:style w:type="paragraph" w:customStyle="1" w:styleId="BodySmallRight">
    <w:name w:val="Body Small Right"/>
    <w:basedOn w:val="BodyTextRight"/>
    <w:rsid w:val="00FC1A02"/>
    <w:rPr>
      <w:sz w:val="18"/>
      <w:szCs w:val="18"/>
    </w:rPr>
  </w:style>
  <w:style w:type="paragraph" w:customStyle="1" w:styleId="MarginEdition">
    <w:name w:val="Margin Edition"/>
    <w:basedOn w:val="MarginNote"/>
    <w:rsid w:val="00FC1A02"/>
    <w:pPr>
      <w:spacing w:before="0" w:after="0"/>
    </w:pPr>
    <w:rPr>
      <w:rFonts w:ascii="Times New Roman" w:hAnsi="Times New Roman"/>
      <w:color w:val="999999"/>
    </w:rPr>
  </w:style>
  <w:style w:type="paragraph" w:customStyle="1" w:styleId="Spacer">
    <w:name w:val="Spacer"/>
    <w:basedOn w:val="Normal"/>
    <w:rsid w:val="00FC1A02"/>
    <w:rPr>
      <w:sz w:val="2"/>
      <w:szCs w:val="2"/>
    </w:rPr>
  </w:style>
  <w:style w:type="character" w:customStyle="1" w:styleId="Small">
    <w:name w:val="Small"/>
    <w:basedOn w:val="DefaultParagraphFont"/>
    <w:rsid w:val="00FC1A02"/>
    <w:rPr>
      <w:sz w:val="16"/>
    </w:rPr>
  </w:style>
  <w:style w:type="paragraph" w:customStyle="1" w:styleId="WideTable">
    <w:name w:val="Wide Table"/>
    <w:basedOn w:val="Normal"/>
    <w:rsid w:val="00FC1A02"/>
    <w:pPr>
      <w:ind w:left="-1418"/>
    </w:pPr>
    <w:rPr>
      <w:sz w:val="2"/>
      <w:szCs w:val="2"/>
    </w:rPr>
  </w:style>
  <w:style w:type="character" w:styleId="PageNumber">
    <w:name w:val="page number"/>
    <w:basedOn w:val="DefaultParagraphFont"/>
    <w:rsid w:val="00FC1A02"/>
  </w:style>
  <w:style w:type="paragraph" w:styleId="Quote">
    <w:name w:val="Quote"/>
    <w:basedOn w:val="Heading1"/>
    <w:link w:val="QuoteChar"/>
    <w:qFormat/>
    <w:rsid w:val="00FC1A02"/>
    <w:rPr>
      <w:b w:val="0"/>
      <w:sz w:val="72"/>
      <w:szCs w:val="72"/>
      <w:lang w:val="en-NZ"/>
    </w:rPr>
  </w:style>
  <w:style w:type="character" w:customStyle="1" w:styleId="QuoteChar">
    <w:name w:val="Quote Char"/>
    <w:basedOn w:val="DefaultParagraphFont"/>
    <w:link w:val="Quote"/>
    <w:rsid w:val="00FC1A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1A02"/>
    <w:pPr>
      <w:pageBreakBefore/>
    </w:pPr>
  </w:style>
  <w:style w:type="paragraph" w:customStyle="1" w:styleId="Border">
    <w:name w:val="Border"/>
    <w:basedOn w:val="Normal"/>
    <w:qFormat/>
    <w:rsid w:val="00FC1A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1A02"/>
    <w:rPr>
      <w:b/>
      <w:bCs/>
      <w:i/>
      <w:iCs/>
      <w:color w:val="auto"/>
    </w:rPr>
  </w:style>
  <w:style w:type="paragraph" w:styleId="IntenseQuote">
    <w:name w:val="Intense Quote"/>
    <w:basedOn w:val="Normal"/>
    <w:next w:val="Normal"/>
    <w:link w:val="IntenseQuoteChar"/>
    <w:uiPriority w:val="30"/>
    <w:qFormat/>
    <w:rsid w:val="00FC1A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1A0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1A02"/>
    <w:rPr>
      <w:smallCaps/>
      <w:color w:val="auto"/>
      <w:u w:val="single"/>
    </w:rPr>
  </w:style>
  <w:style w:type="character" w:styleId="IntenseReference">
    <w:name w:val="Intense Reference"/>
    <w:basedOn w:val="DefaultParagraphFont"/>
    <w:uiPriority w:val="32"/>
    <w:qFormat/>
    <w:rsid w:val="00FC1A02"/>
    <w:rPr>
      <w:b/>
      <w:bCs/>
      <w:smallCaps/>
      <w:color w:val="auto"/>
      <w:spacing w:val="5"/>
      <w:u w:val="single"/>
    </w:rPr>
  </w:style>
  <w:style w:type="paragraph" w:customStyle="1" w:styleId="2ColumnHeading">
    <w:name w:val="2Column Heading"/>
    <w:basedOn w:val="BodyText"/>
    <w:qFormat/>
    <w:rsid w:val="00FC1A02"/>
    <w:pPr>
      <w:spacing w:after="60"/>
      <w:ind w:left="-2268"/>
    </w:pPr>
    <w:rPr>
      <w:b/>
    </w:rPr>
  </w:style>
  <w:style w:type="paragraph" w:customStyle="1" w:styleId="Heading1TOC">
    <w:name w:val="Heading1 TOC"/>
    <w:basedOn w:val="Normal"/>
    <w:qFormat/>
    <w:rsid w:val="00FC1A02"/>
    <w:pPr>
      <w:spacing w:before="240" w:after="120"/>
    </w:pPr>
    <w:rPr>
      <w:rFonts w:ascii="Times New Roman" w:hAnsi="Times New Roman"/>
      <w:b/>
      <w:sz w:val="32"/>
    </w:rPr>
  </w:style>
  <w:style w:type="paragraph" w:customStyle="1" w:styleId="Heading2TOC">
    <w:name w:val="Heading2 TOC"/>
    <w:basedOn w:val="Normal"/>
    <w:qFormat/>
    <w:rsid w:val="00FC1A02"/>
    <w:pPr>
      <w:spacing w:before="240" w:after="60"/>
    </w:pPr>
    <w:rPr>
      <w:rFonts w:ascii="Times New Roman" w:hAnsi="Times New Roman"/>
      <w:b/>
      <w:sz w:val="28"/>
    </w:rPr>
  </w:style>
  <w:style w:type="character" w:customStyle="1" w:styleId="Underline">
    <w:name w:val="Underline"/>
    <w:basedOn w:val="DefaultParagraphFont"/>
    <w:qFormat/>
    <w:rsid w:val="00FC1A02"/>
    <w:rPr>
      <w:u w:val="single"/>
    </w:rPr>
  </w:style>
  <w:style w:type="paragraph" w:styleId="BalloonText">
    <w:name w:val="Balloon Text"/>
    <w:basedOn w:val="Normal"/>
    <w:link w:val="BalloonTextChar"/>
    <w:rsid w:val="00FC1A02"/>
    <w:rPr>
      <w:rFonts w:ascii="Tahoma" w:hAnsi="Tahoma" w:cs="Tahoma"/>
      <w:sz w:val="16"/>
      <w:szCs w:val="16"/>
    </w:rPr>
  </w:style>
  <w:style w:type="character" w:customStyle="1" w:styleId="BalloonTextChar">
    <w:name w:val="Balloon Text Char"/>
    <w:basedOn w:val="DefaultParagraphFont"/>
    <w:link w:val="BalloonText"/>
    <w:rsid w:val="00FC1A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1A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1A0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1134</Words>
  <Characters>6885</Characters>
  <Application>Microsoft Office Word</Application>
  <DocSecurity>0</DocSecurity>
  <Lines>253</Lines>
  <Paragraphs>119</Paragraphs>
  <ScaleCrop>false</ScaleCrop>
  <Company>Author-it Software Corporation Ltd.</Company>
  <LinksUpToDate>false</LinksUpToDate>
  <CharactersWithSpaces>7964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CHCCSL507A Support clients in decision-making processes</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2012-05-26T14:23:00Z</dcterms:created>
  <dcterms:modified xsi:type="dcterms:W3CDTF">2012-05-26T14:23:00Z</dcterms:modified>
</cp:coreProperties>
</file>