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74C" w:rsidP="0081374C">
      <w:pPr>
        <w:pStyle w:val="Title"/>
      </w:pPr>
      <w:r>
        <w:fldChar w:fldCharType="begin"/>
      </w:r>
      <w:r>
        <w:instrText xml:space="preserve"> TITLE   \* MERGEFORMAT </w:instrText>
      </w:r>
      <w:r>
        <w:fldChar w:fldCharType="separate"/>
      </w:r>
      <w:r>
        <w:t>CHCCS426A Provide support and care relating to loss and grief</w:t>
      </w:r>
      <w:r>
        <w:fldChar w:fldCharType="end"/>
      </w:r>
    </w:p>
    <w:p w:rsidR="0081374C" w:rsidP="0081374C">
      <w:pPr>
        <w:pStyle w:val="Version"/>
        <w:sectPr w:rsidSect="001E43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43B3" w:rsidP="001E43B3">
      <w:pPr>
        <w:pStyle w:val="SuperHeading"/>
      </w:pPr>
      <w:r w:rsidRPr="001E43B3">
        <w:t>CHCCS426A Provide support and care relating to loss and grief</w:t>
      </w:r>
    </w:p>
    <w:p w:rsidR="00000000" w:rsidRPr="001E43B3" w:rsidP="001E43B3">
      <w:pPr>
        <w:pStyle w:val="Heading1"/>
      </w:pPr>
      <w:bookmarkStart w:id="1" w:name="O_268965"/>
      <w:bookmarkEnd w:id="1"/>
      <w:r w:rsidRPr="001E43B3">
        <w:t>Modification History</w:t>
      </w:r>
    </w:p>
    <w:p w:rsidR="00000000" w:rsidRPr="001E43B3" w:rsidP="001E43B3">
      <w:pPr>
        <w:pStyle w:val="BodyText"/>
      </w:pPr>
      <w:r w:rsidRPr="001E43B3">
        <w:t>Not Applicable</w:t>
      </w:r>
    </w:p>
    <w:p w:rsidR="00000000" w:rsidRPr="001E43B3" w:rsidP="001E43B3">
      <w:pPr>
        <w:pStyle w:val="AllowPageBreak"/>
      </w:pPr>
    </w:p>
    <w:p w:rsidR="00000000" w:rsidRPr="001E43B3" w:rsidP="001E43B3">
      <w:pPr>
        <w:pStyle w:val="Heading1"/>
      </w:pPr>
      <w:bookmarkStart w:id="2" w:name="O_195325"/>
      <w:bookmarkEnd w:id="2"/>
      <w:r w:rsidRPr="001E43B3">
        <w:t>Unit Descriptor</w:t>
      </w:r>
    </w:p>
    <w:tbl>
      <w:tblPr>
        <w:tblW w:w="0" w:type="auto"/>
        <w:tblLayout w:type="fixed"/>
        <w:tblCellMar>
          <w:left w:w="62" w:type="dxa"/>
          <w:right w:w="62" w:type="dxa"/>
        </w:tblCellMar>
        <w:tblLook w:val="0000"/>
      </w:tblPr>
      <w:tblGrid>
        <w:gridCol w:w="3339"/>
        <w:gridCol w:w="5217"/>
      </w:tblGrid>
      <w:tr w:rsidTr="0081374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r w:rsidRPr="001E43B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E43B3" w:rsidP="001E43B3">
            <w:pPr>
              <w:pStyle w:val="BodyText"/>
            </w:pPr>
            <w:r w:rsidRPr="001E43B3">
              <w:t>This unit describes the knowledge and skills required to provide support for individuals who a</w:t>
            </w:r>
            <w:r w:rsidRPr="001E43B3">
              <w:t>re experiencing loss, grief and bereavement</w:t>
            </w:r>
          </w:p>
        </w:tc>
      </w:tr>
    </w:tbl>
    <w:p w:rsidR="0081374C" w:rsidP="001E43B3">
      <w:pPr>
        <w:pStyle w:val="BodyText"/>
      </w:pPr>
    </w:p>
    <w:p w:rsidR="0081374C" w:rsidP="001E43B3">
      <w:pPr>
        <w:pStyle w:val="BodyText"/>
      </w:pPr>
    </w:p>
    <w:p w:rsidR="00000000" w:rsidRPr="001E43B3" w:rsidP="001E43B3">
      <w:pPr>
        <w:pStyle w:val="Heading1"/>
      </w:pPr>
      <w:bookmarkStart w:id="3" w:name="O_195327"/>
      <w:bookmarkEnd w:id="3"/>
      <w:r w:rsidRPr="001E43B3">
        <w:t>Application of the Unit</w:t>
      </w:r>
    </w:p>
    <w:tbl>
      <w:tblPr>
        <w:tblW w:w="0" w:type="auto"/>
        <w:tblLayout w:type="fixed"/>
        <w:tblCellMar>
          <w:left w:w="62" w:type="dxa"/>
          <w:right w:w="62" w:type="dxa"/>
        </w:tblCellMar>
        <w:tblLook w:val="0000"/>
      </w:tblPr>
      <w:tblGrid>
        <w:gridCol w:w="3349"/>
        <w:gridCol w:w="5207"/>
      </w:tblGrid>
      <w:tr w:rsidTr="0081374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r w:rsidRPr="001E43B3">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1E43B3" w:rsidP="001E43B3">
            <w:pPr>
              <w:pStyle w:val="BodyText"/>
            </w:pPr>
            <w:r w:rsidRPr="001E43B3">
              <w:t xml:space="preserve">This unit of competency may be applied in a range of community services contexts involving supporting individuals dealing with loss, grief and bereavement </w:t>
            </w:r>
          </w:p>
        </w:tc>
      </w:tr>
    </w:tbl>
    <w:p w:rsidR="0081374C" w:rsidP="001E43B3">
      <w:pPr>
        <w:pStyle w:val="BodyText"/>
      </w:pPr>
    </w:p>
    <w:p w:rsidR="0081374C" w:rsidP="001E43B3">
      <w:pPr>
        <w:pStyle w:val="BodyText"/>
      </w:pPr>
    </w:p>
    <w:p w:rsidR="00000000" w:rsidRPr="001E43B3" w:rsidP="001E43B3">
      <w:pPr>
        <w:pStyle w:val="Heading1"/>
      </w:pPr>
      <w:bookmarkStart w:id="4" w:name="O_277225"/>
      <w:bookmarkEnd w:id="4"/>
      <w:r w:rsidRPr="001E43B3">
        <w:t>Licensing/Regulatory Information</w:t>
      </w:r>
    </w:p>
    <w:p w:rsidR="00000000" w:rsidRPr="001E43B3" w:rsidP="001E43B3">
      <w:pPr>
        <w:pStyle w:val="BodyText"/>
      </w:pPr>
      <w:r w:rsidRPr="001E43B3">
        <w:t>Not Applicable</w:t>
      </w:r>
    </w:p>
    <w:p w:rsidR="00000000" w:rsidRPr="001E43B3" w:rsidP="001E43B3">
      <w:pPr>
        <w:pStyle w:val="AllowPageBreak"/>
      </w:pPr>
    </w:p>
    <w:p w:rsidR="00000000" w:rsidRPr="001E43B3" w:rsidP="001E43B3">
      <w:pPr>
        <w:pStyle w:val="Heading1"/>
      </w:pPr>
      <w:bookmarkStart w:id="5" w:name="O_283080"/>
      <w:bookmarkEnd w:id="5"/>
      <w:r w:rsidRPr="001E43B3">
        <w:t>Pre-Requisites</w:t>
      </w:r>
    </w:p>
    <w:p w:rsidR="00000000" w:rsidRPr="001E43B3" w:rsidP="001E43B3">
      <w:pPr>
        <w:pStyle w:val="BodyText"/>
      </w:pPr>
      <w:r w:rsidRPr="001E43B3">
        <w:t>Not Applicable</w:t>
      </w:r>
    </w:p>
    <w:p w:rsidR="00000000" w:rsidRPr="001E43B3" w:rsidP="001E43B3">
      <w:pPr>
        <w:pStyle w:val="AllowPageBreak"/>
      </w:pPr>
    </w:p>
    <w:p w:rsidR="00000000" w:rsidRPr="001E43B3" w:rsidP="001E43B3">
      <w:pPr>
        <w:pStyle w:val="Heading1"/>
      </w:pPr>
      <w:bookmarkStart w:id="6" w:name="O_195326"/>
      <w:bookmarkEnd w:id="6"/>
      <w:r w:rsidRPr="001E43B3">
        <w:t>Employability Skills Information</w:t>
      </w:r>
    </w:p>
    <w:tbl>
      <w:tblPr>
        <w:tblW w:w="0" w:type="auto"/>
        <w:tblLayout w:type="fixed"/>
        <w:tblCellMar>
          <w:left w:w="62" w:type="dxa"/>
          <w:right w:w="62" w:type="dxa"/>
        </w:tblCellMar>
        <w:tblLook w:val="0000"/>
      </w:tblPr>
      <w:tblGrid>
        <w:gridCol w:w="3320"/>
        <w:gridCol w:w="5236"/>
      </w:tblGrid>
      <w:tr w:rsidTr="0081374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r w:rsidRPr="001E43B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E43B3" w:rsidP="001E43B3">
            <w:pPr>
              <w:pStyle w:val="BodyText"/>
            </w:pPr>
            <w:r w:rsidRPr="001E43B3">
              <w:t>This unit contains Employability Skills</w:t>
            </w:r>
          </w:p>
        </w:tc>
      </w:tr>
    </w:tbl>
    <w:p w:rsidR="0081374C" w:rsidP="001E43B3">
      <w:pPr>
        <w:pStyle w:val="BodyText"/>
      </w:pPr>
    </w:p>
    <w:p w:rsidR="0081374C" w:rsidP="001E43B3">
      <w:pPr>
        <w:pStyle w:val="BodyText"/>
      </w:pPr>
    </w:p>
    <w:p w:rsidR="00000000" w:rsidRPr="001E43B3" w:rsidP="001E43B3">
      <w:pPr>
        <w:pStyle w:val="Heading1"/>
      </w:pPr>
      <w:bookmarkStart w:id="7" w:name="O_287011"/>
      <w:bookmarkEnd w:id="7"/>
      <w:r w:rsidRPr="001E43B3">
        <w:t>Elements and Performance Criteria Pre-Content</w:t>
      </w:r>
    </w:p>
    <w:tbl>
      <w:tblPr>
        <w:tblW w:w="0" w:type="auto"/>
        <w:tblLayout w:type="fixed"/>
        <w:tblCellMar>
          <w:left w:w="62" w:type="dxa"/>
          <w:right w:w="62" w:type="dxa"/>
        </w:tblCellMar>
        <w:tblLook w:val="0000"/>
      </w:tblPr>
      <w:tblGrid>
        <w:gridCol w:w="3369"/>
        <w:gridCol w:w="5702"/>
      </w:tblGrid>
      <w:tr w:rsidTr="008137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r w:rsidRPr="001E43B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E43B3" w:rsidP="001E43B3">
            <w:pPr>
              <w:pStyle w:val="BodyText"/>
            </w:pPr>
            <w:r w:rsidRPr="001E43B3">
              <w:t>The Performance Criteria specify the level of performance required to demonstrate achievement of the Element. Terms in italics are elaborated in t</w:t>
            </w:r>
            <w:r w:rsidRPr="001E43B3">
              <w:t xml:space="preserve">he Range Statement. </w:t>
            </w:r>
          </w:p>
        </w:tc>
      </w:tr>
    </w:tbl>
    <w:p w:rsidR="00000000" w:rsidRPr="001E43B3" w:rsidP="001E43B3">
      <w:pPr>
        <w:pStyle w:val="BodyText"/>
      </w:pPr>
    </w:p>
    <w:p w:rsidR="00000000" w:rsidRPr="001E43B3" w:rsidP="001E43B3">
      <w:pPr>
        <w:pStyle w:val="AllowPageBreak"/>
      </w:pPr>
    </w:p>
    <w:p w:rsidR="00000000" w:rsidRPr="001E43B3" w:rsidP="001E43B3">
      <w:pPr>
        <w:pStyle w:val="Heading1"/>
      </w:pPr>
      <w:bookmarkStart w:id="8" w:name="O_233678"/>
      <w:bookmarkEnd w:id="8"/>
      <w:r w:rsidRPr="001E43B3">
        <w:t>Elements and Performance Criteria</w:t>
      </w:r>
    </w:p>
    <w:tbl>
      <w:tblPr>
        <w:tblW w:w="0" w:type="auto"/>
        <w:tblLayout w:type="fixed"/>
        <w:tblCellMar>
          <w:left w:w="62" w:type="dxa"/>
          <w:right w:w="62" w:type="dxa"/>
        </w:tblCellMar>
        <w:tblLook w:val="0000"/>
      </w:tblPr>
      <w:tblGrid>
        <w:gridCol w:w="3369"/>
        <w:gridCol w:w="5702"/>
      </w:tblGrid>
      <w:tr w:rsidTr="0081374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E43B3" w:rsidP="001E43B3">
            <w:pPr>
              <w:pStyle w:val="BodyText"/>
            </w:pPr>
            <w:r w:rsidRPr="001E43B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r w:rsidRPr="001E43B3">
              <w:rPr>
                <w:rStyle w:val="SpecialBold"/>
              </w:rPr>
              <w:t>PERFORMANCE CRITERIA</w:t>
            </w:r>
          </w:p>
        </w:tc>
      </w:tr>
      <w:tr w:rsidTr="008137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E43B3">
            <w:pPr>
              <w:pStyle w:val="List"/>
              <w:rPr>
                <w:lang w:val="en-NZ"/>
              </w:rPr>
            </w:pPr>
            <w:r w:rsidRPr="001E43B3">
              <w:t>1.</w:t>
            </w:r>
            <w:r w:rsidRPr="001E43B3">
              <w:tab/>
              <w:t xml:space="preserve">Identify effects and impact of </w:t>
            </w:r>
            <w:r w:rsidRPr="001E43B3">
              <w:rPr>
                <w:rStyle w:val="Emphasis"/>
              </w:rPr>
              <w:t>loss</w:t>
            </w:r>
            <w:r w:rsidRPr="001E43B3">
              <w:t xml:space="preserve"> and </w:t>
            </w:r>
            <w:r w:rsidRPr="001E43B3">
              <w:rPr>
                <w:rStyle w:val="Emphasis"/>
              </w:rPr>
              <w:t>features of grief</w:t>
            </w:r>
          </w:p>
        </w:tc>
        <w:tc>
          <w:tcPr>
            <w:tcW w:w="5702" w:type="dxa"/>
            <w:tcBorders>
              <w:top w:val="nil"/>
              <w:left w:val="nil"/>
              <w:bottom w:val="nil"/>
              <w:right w:val="nil"/>
            </w:tcBorders>
            <w:tcMar>
              <w:top w:w="0" w:type="dxa"/>
              <w:left w:w="62" w:type="dxa"/>
              <w:bottom w:w="0" w:type="dxa"/>
              <w:right w:w="62" w:type="dxa"/>
            </w:tcMar>
          </w:tcPr>
          <w:p w:rsidR="00000000" w:rsidRPr="001E43B3" w:rsidP="001E43B3">
            <w:pPr>
              <w:pStyle w:val="BodyText"/>
            </w:pPr>
            <w:r w:rsidRPr="001E43B3">
              <w:t>1.1</w:t>
            </w:r>
            <w:r w:rsidRPr="001E43B3">
              <w:tab/>
            </w:r>
            <w:r w:rsidRPr="001E43B3">
              <w:t>Clarify the impact of specific loss(es) and common features of grief and trauma and their interplay at the individual, family and community level</w:t>
            </w:r>
          </w:p>
          <w:p w:rsidR="00000000" w:rsidRPr="001E43B3" w:rsidP="001E43B3">
            <w:pPr>
              <w:pStyle w:val="BodyText"/>
            </w:pPr>
            <w:r w:rsidRPr="001E43B3">
              <w:t>1.2</w:t>
            </w:r>
            <w:r w:rsidRPr="001E43B3">
              <w:tab/>
              <w:t xml:space="preserve">Recognise common but also distinctive </w:t>
            </w:r>
            <w:r w:rsidRPr="001E43B3">
              <w:rPr>
                <w:rStyle w:val="Emphasis"/>
              </w:rPr>
              <w:t>expressions of grief</w:t>
            </w:r>
            <w:r w:rsidRPr="001E43B3">
              <w:t xml:space="preserve"> and complex grief</w:t>
            </w:r>
          </w:p>
          <w:p w:rsidR="00000000" w:rsidRPr="001E43B3" w:rsidP="001E43B3">
            <w:pPr>
              <w:pStyle w:val="BodyText"/>
            </w:pPr>
            <w:r w:rsidRPr="001E43B3">
              <w:t>1.3</w:t>
            </w:r>
            <w:r w:rsidRPr="001E43B3">
              <w:tab/>
              <w:t>Take into account distinc</w:t>
            </w:r>
            <w:r w:rsidRPr="001E43B3">
              <w:t xml:space="preserve">tive </w:t>
            </w:r>
            <w:r w:rsidRPr="001E43B3">
              <w:rPr>
                <w:rStyle w:val="Emphasis"/>
              </w:rPr>
              <w:t>social</w:t>
            </w:r>
            <w:r w:rsidRPr="001E43B3">
              <w:t xml:space="preserve">, </w:t>
            </w:r>
            <w:r w:rsidRPr="001E43B3">
              <w:rPr>
                <w:rStyle w:val="Emphasis"/>
              </w:rPr>
              <w:t>cultural</w:t>
            </w:r>
            <w:r w:rsidRPr="001E43B3">
              <w:t xml:space="preserve">, </w:t>
            </w:r>
            <w:r w:rsidRPr="001E43B3">
              <w:rPr>
                <w:rStyle w:val="Emphasis"/>
              </w:rPr>
              <w:t>ethnic and spiritual differences</w:t>
            </w:r>
            <w:r w:rsidRPr="001E43B3">
              <w:t xml:space="preserve"> in loss and grief</w:t>
            </w:r>
          </w:p>
          <w:p w:rsidR="00000000" w:rsidRPr="001E43B3" w:rsidP="001E43B3">
            <w:pPr>
              <w:pStyle w:val="BodyText"/>
            </w:pPr>
            <w:r w:rsidRPr="001E43B3">
              <w:t>1.4</w:t>
            </w:r>
            <w:r w:rsidRPr="001E43B3">
              <w:tab/>
              <w:t xml:space="preserve">Recognise the elevated risk of developing negative impacts on health and well being after a loss </w:t>
            </w:r>
          </w:p>
          <w:p w:rsidR="00000000" w:rsidRPr="001E43B3" w:rsidP="001E43B3">
            <w:pPr>
              <w:pStyle w:val="BodyText"/>
            </w:pPr>
            <w:r w:rsidRPr="001E43B3">
              <w:t>1.5</w:t>
            </w:r>
            <w:r w:rsidRPr="001E43B3">
              <w:tab/>
              <w:t>Recognise and understand disenfranchised grief</w:t>
            </w:r>
          </w:p>
          <w:p w:rsidR="00000000" w:rsidRPr="001E43B3" w:rsidP="001E43B3">
            <w:pPr>
              <w:pStyle w:val="BodyText"/>
            </w:pPr>
            <w:r w:rsidRPr="001E43B3">
              <w:t>1.6</w:t>
            </w:r>
            <w:r w:rsidRPr="001E43B3">
              <w:tab/>
              <w:t xml:space="preserve">Identify and demonstrate </w:t>
            </w:r>
            <w:r w:rsidRPr="001E43B3">
              <w:t xml:space="preserve">understanding and respect for specific approaches and responses of individuals, families and communities to grief </w:t>
            </w:r>
          </w:p>
          <w:p w:rsidR="00000000" w:rsidP="001E43B3">
            <w:pPr>
              <w:pStyle w:val="BodyText"/>
              <w:rPr>
                <w:lang w:val="en-NZ"/>
              </w:rPr>
            </w:pPr>
            <w:r w:rsidRPr="001E43B3">
              <w:t>1.7</w:t>
            </w:r>
            <w:r w:rsidRPr="001E43B3">
              <w:tab/>
              <w:t xml:space="preserve">Demonstrate understanding of </w:t>
            </w:r>
            <w:r w:rsidRPr="001E43B3">
              <w:rPr>
                <w:rStyle w:val="Emphasis"/>
              </w:rPr>
              <w:t>integration of loss</w:t>
            </w:r>
            <w:r w:rsidRPr="001E43B3">
              <w:t xml:space="preserve"> </w:t>
            </w:r>
          </w:p>
        </w:tc>
      </w:tr>
      <w:tr w:rsidTr="008137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p>
        </w:tc>
      </w:tr>
      <w:tr w:rsidTr="008137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E43B3">
            <w:pPr>
              <w:pStyle w:val="List"/>
              <w:rPr>
                <w:lang w:val="en-NZ"/>
              </w:rPr>
            </w:pPr>
            <w:r w:rsidRPr="001E43B3">
              <w:t>2.</w:t>
            </w:r>
            <w:r w:rsidRPr="001E43B3">
              <w:tab/>
              <w:t xml:space="preserve">Engage empathically with people who are living with loss </w:t>
            </w:r>
          </w:p>
        </w:tc>
        <w:tc>
          <w:tcPr>
            <w:tcW w:w="5702" w:type="dxa"/>
            <w:tcBorders>
              <w:top w:val="nil"/>
              <w:left w:val="nil"/>
              <w:bottom w:val="nil"/>
              <w:right w:val="nil"/>
            </w:tcBorders>
            <w:tcMar>
              <w:top w:w="0" w:type="dxa"/>
              <w:left w:w="62" w:type="dxa"/>
              <w:bottom w:w="0" w:type="dxa"/>
              <w:right w:w="62" w:type="dxa"/>
            </w:tcMar>
          </w:tcPr>
          <w:p w:rsidR="00000000" w:rsidRPr="001E43B3" w:rsidP="001E43B3">
            <w:pPr>
              <w:pStyle w:val="BodyText"/>
            </w:pPr>
            <w:r w:rsidRPr="001E43B3">
              <w:t>2.1</w:t>
            </w:r>
            <w:r w:rsidRPr="001E43B3">
              <w:tab/>
            </w:r>
            <w:r w:rsidRPr="001E43B3">
              <w:rPr>
                <w:rStyle w:val="Emphasis"/>
              </w:rPr>
              <w:t>Interact with individuals with empathy</w:t>
            </w:r>
            <w:r w:rsidRPr="001E43B3">
              <w:t xml:space="preserve">, </w:t>
            </w:r>
            <w:r w:rsidRPr="001E43B3">
              <w:rPr>
                <w:rStyle w:val="Emphasis"/>
              </w:rPr>
              <w:t>sensitivity</w:t>
            </w:r>
            <w:r w:rsidRPr="001E43B3">
              <w:t xml:space="preserve">, </w:t>
            </w:r>
            <w:r w:rsidRPr="001E43B3">
              <w:rPr>
                <w:rStyle w:val="Emphasis"/>
              </w:rPr>
              <w:t>professionalism and courtesy</w:t>
            </w:r>
          </w:p>
          <w:p w:rsidR="00000000" w:rsidRPr="001E43B3" w:rsidP="001E43B3">
            <w:pPr>
              <w:pStyle w:val="BodyText"/>
            </w:pPr>
            <w:r w:rsidRPr="001E43B3">
              <w:t>2.2</w:t>
            </w:r>
            <w:r w:rsidRPr="001E43B3">
              <w:tab/>
              <w:t>Identify and respect social, cultural, ethnic and spiritual differences which may affect grief and bereavement responses</w:t>
            </w:r>
          </w:p>
          <w:p w:rsidR="00000000" w:rsidRPr="001E43B3" w:rsidP="001E43B3">
            <w:pPr>
              <w:pStyle w:val="BodyText"/>
            </w:pPr>
            <w:r w:rsidRPr="001E43B3">
              <w:t>2.3</w:t>
            </w:r>
            <w:r w:rsidRPr="001E43B3">
              <w:tab/>
              <w:t>Apply, within culturally appropriate boundari</w:t>
            </w:r>
            <w:r w:rsidRPr="001E43B3">
              <w:t xml:space="preserve">es </w:t>
            </w:r>
            <w:r w:rsidRPr="001E43B3">
              <w:rPr>
                <w:rStyle w:val="Emphasis"/>
              </w:rPr>
              <w:t>verbal and non</w:t>
            </w:r>
            <w:r w:rsidRPr="001E43B3">
              <w:t>-</w:t>
            </w:r>
            <w:r w:rsidRPr="001E43B3">
              <w:rPr>
                <w:rStyle w:val="Emphasis"/>
              </w:rPr>
              <w:t>verbal approaches</w:t>
            </w:r>
            <w:r w:rsidRPr="001E43B3">
              <w:t xml:space="preserve"> to dealing with and responding to grieving individuals</w:t>
            </w:r>
          </w:p>
          <w:p w:rsidR="00000000" w:rsidP="001E43B3">
            <w:pPr>
              <w:pStyle w:val="BodyText"/>
              <w:rPr>
                <w:lang w:val="en-NZ"/>
              </w:rPr>
            </w:pPr>
            <w:r w:rsidRPr="001E43B3">
              <w:t>2.4</w:t>
            </w:r>
            <w:r w:rsidRPr="001E43B3">
              <w:tab/>
              <w:t xml:space="preserve">Apply, within culturally appropriate boundaries </w:t>
            </w:r>
            <w:r w:rsidRPr="001E43B3">
              <w:rPr>
                <w:rStyle w:val="Emphasis"/>
              </w:rPr>
              <w:t>empathic listening skills</w:t>
            </w:r>
          </w:p>
        </w:tc>
      </w:tr>
      <w:tr w:rsidTr="008137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p>
        </w:tc>
      </w:tr>
      <w:tr w:rsidTr="008137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E43B3">
            <w:pPr>
              <w:pStyle w:val="List"/>
              <w:rPr>
                <w:lang w:val="en-NZ"/>
              </w:rPr>
            </w:pPr>
            <w:r w:rsidRPr="001E43B3">
              <w:t>3.</w:t>
            </w:r>
            <w:r w:rsidRPr="001E43B3">
              <w:tab/>
              <w:t>Provide support for individuals who are grieving and identify potential for heal</w:t>
            </w:r>
            <w:r w:rsidRPr="001E43B3">
              <w:t>ing and growth</w:t>
            </w:r>
          </w:p>
        </w:tc>
        <w:tc>
          <w:tcPr>
            <w:tcW w:w="5702" w:type="dxa"/>
            <w:tcBorders>
              <w:top w:val="nil"/>
              <w:left w:val="nil"/>
              <w:bottom w:val="nil"/>
              <w:right w:val="nil"/>
            </w:tcBorders>
            <w:tcMar>
              <w:top w:w="0" w:type="dxa"/>
              <w:left w:w="62" w:type="dxa"/>
              <w:bottom w:w="0" w:type="dxa"/>
              <w:right w:w="62" w:type="dxa"/>
            </w:tcMar>
          </w:tcPr>
          <w:p w:rsidR="00000000" w:rsidRPr="001E43B3" w:rsidP="001E43B3">
            <w:pPr>
              <w:pStyle w:val="BodyText"/>
            </w:pPr>
            <w:r w:rsidRPr="001E43B3">
              <w:t>3.1</w:t>
            </w:r>
            <w:r w:rsidRPr="001E43B3">
              <w:tab/>
              <w:t>Recognise common reactions to loss and the range of grief responses</w:t>
            </w:r>
          </w:p>
          <w:p w:rsidR="00000000" w:rsidRPr="001E43B3" w:rsidP="001E43B3">
            <w:pPr>
              <w:pStyle w:val="BodyText"/>
            </w:pPr>
            <w:r w:rsidRPr="001E43B3">
              <w:t>3.2</w:t>
            </w:r>
            <w:r w:rsidRPr="001E43B3">
              <w:tab/>
              <w:t>Recognise common reactions to trauma and the range of responses</w:t>
            </w:r>
          </w:p>
          <w:p w:rsidR="00000000" w:rsidRPr="001E43B3" w:rsidP="001E43B3">
            <w:pPr>
              <w:pStyle w:val="BodyText"/>
            </w:pPr>
            <w:r w:rsidRPr="001E43B3">
              <w:t>3.3</w:t>
            </w:r>
            <w:r w:rsidRPr="001E43B3">
              <w:tab/>
              <w:t xml:space="preserve">Identify individuals experiencing </w:t>
            </w:r>
            <w:r w:rsidRPr="001E43B3">
              <w:rPr>
                <w:rStyle w:val="Emphasis"/>
              </w:rPr>
              <w:t>difficulty in coping with grief and trauma</w:t>
            </w:r>
            <w:r w:rsidRPr="001E43B3">
              <w:t xml:space="preserve"> and link them with o</w:t>
            </w:r>
            <w:r w:rsidRPr="001E43B3">
              <w:t>ptions for further help as needed</w:t>
            </w:r>
          </w:p>
          <w:p w:rsidR="00000000" w:rsidRPr="001E43B3" w:rsidP="001E43B3">
            <w:pPr>
              <w:pStyle w:val="BodyText"/>
            </w:pPr>
            <w:r w:rsidRPr="001E43B3">
              <w:t>3.4</w:t>
            </w:r>
            <w:r w:rsidRPr="001E43B3">
              <w:tab/>
              <w:t>Demonstrate understanding of the role of complex grief reactions</w:t>
            </w:r>
          </w:p>
          <w:p w:rsidR="00000000" w:rsidRPr="001E43B3" w:rsidP="001E43B3">
            <w:pPr>
              <w:pStyle w:val="BodyText"/>
            </w:pPr>
            <w:r w:rsidRPr="001E43B3">
              <w:t>3.5</w:t>
            </w:r>
            <w:r w:rsidRPr="001E43B3">
              <w:tab/>
              <w:t>Identify and assess an individual's suicide risk and where necessary refer to appropriate services</w:t>
            </w:r>
          </w:p>
          <w:p w:rsidR="00000000" w:rsidRPr="001E43B3" w:rsidP="001E43B3">
            <w:pPr>
              <w:pStyle w:val="BodyText"/>
            </w:pPr>
            <w:r w:rsidRPr="001E43B3">
              <w:t>3.6</w:t>
            </w:r>
            <w:r w:rsidRPr="001E43B3">
              <w:tab/>
              <w:t xml:space="preserve">Use, within culturally appropriate boundaries </w:t>
            </w:r>
            <w:r w:rsidRPr="001E43B3">
              <w:t>communication techniques to respond to each individual's needs in relation to their grief and bereavement</w:t>
            </w:r>
          </w:p>
          <w:p w:rsidR="00000000" w:rsidRPr="001E43B3" w:rsidP="001E43B3">
            <w:pPr>
              <w:pStyle w:val="BodyText"/>
            </w:pPr>
            <w:r w:rsidRPr="001E43B3">
              <w:t>3.7</w:t>
            </w:r>
            <w:r w:rsidRPr="001E43B3">
              <w:tab/>
              <w:t xml:space="preserve">Identify, suggest or use strategies for formal and informal </w:t>
            </w:r>
            <w:r w:rsidRPr="001E43B3">
              <w:rPr>
                <w:rStyle w:val="Emphasis"/>
              </w:rPr>
              <w:t>grief and bereavement support</w:t>
            </w:r>
          </w:p>
          <w:p w:rsidR="00000000" w:rsidP="001E43B3">
            <w:pPr>
              <w:pStyle w:val="BodyText"/>
              <w:rPr>
                <w:lang w:val="en-NZ"/>
              </w:rPr>
            </w:pPr>
            <w:r w:rsidRPr="001E43B3">
              <w:t>3.8</w:t>
            </w:r>
            <w:r w:rsidRPr="001E43B3">
              <w:tab/>
            </w:r>
            <w:r w:rsidRPr="001E43B3">
              <w:t>Maintain confidentiality in line with organisation practices</w:t>
            </w:r>
          </w:p>
        </w:tc>
      </w:tr>
      <w:tr w:rsidTr="008137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p>
        </w:tc>
      </w:tr>
      <w:tr w:rsidTr="008137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E43B3">
            <w:pPr>
              <w:pStyle w:val="List"/>
              <w:rPr>
                <w:lang w:val="en-NZ"/>
              </w:rPr>
            </w:pPr>
            <w:r w:rsidRPr="001E43B3">
              <w:t>4.</w:t>
            </w:r>
            <w:r w:rsidRPr="001E43B3">
              <w:tab/>
              <w:t>Identify, inform and refer to appropriate grief and bereavement care services and resources</w:t>
            </w:r>
          </w:p>
        </w:tc>
        <w:tc>
          <w:tcPr>
            <w:tcW w:w="5702" w:type="dxa"/>
            <w:tcBorders>
              <w:top w:val="nil"/>
              <w:left w:val="nil"/>
              <w:bottom w:val="nil"/>
              <w:right w:val="nil"/>
            </w:tcBorders>
            <w:tcMar>
              <w:top w:w="0" w:type="dxa"/>
              <w:left w:w="62" w:type="dxa"/>
              <w:bottom w:w="0" w:type="dxa"/>
              <w:right w:w="62" w:type="dxa"/>
            </w:tcMar>
          </w:tcPr>
          <w:p w:rsidR="00000000" w:rsidRPr="001E43B3" w:rsidP="001E43B3">
            <w:pPr>
              <w:pStyle w:val="BodyText"/>
            </w:pPr>
            <w:r w:rsidRPr="001E43B3">
              <w:t>4.1</w:t>
            </w:r>
            <w:r w:rsidRPr="001E43B3">
              <w:tab/>
              <w:t>Identify grief and bereavement care services available in the community</w:t>
            </w:r>
          </w:p>
          <w:p w:rsidR="00000000" w:rsidRPr="001E43B3" w:rsidP="001E43B3">
            <w:pPr>
              <w:pStyle w:val="BodyText"/>
            </w:pPr>
            <w:r w:rsidRPr="001E43B3">
              <w:t>4.2</w:t>
            </w:r>
            <w:r w:rsidRPr="001E43B3">
              <w:tab/>
              <w:t xml:space="preserve">Identify </w:t>
            </w:r>
            <w:r w:rsidRPr="001E43B3">
              <w:rPr>
                <w:rStyle w:val="Emphasis"/>
              </w:rPr>
              <w:t>referra</w:t>
            </w:r>
            <w:r w:rsidRPr="001E43B3">
              <w:rPr>
                <w:rStyle w:val="Emphasis"/>
              </w:rPr>
              <w:t>l procedures</w:t>
            </w:r>
            <w:r w:rsidRPr="001E43B3">
              <w:t xml:space="preserve"> in accordance with organisation policies and procedures</w:t>
            </w:r>
          </w:p>
          <w:p w:rsidR="00000000" w:rsidRPr="001E43B3" w:rsidP="001E43B3">
            <w:pPr>
              <w:pStyle w:val="BodyText"/>
            </w:pPr>
            <w:r w:rsidRPr="001E43B3">
              <w:t>4.3</w:t>
            </w:r>
            <w:r w:rsidRPr="001E43B3">
              <w:tab/>
              <w:t xml:space="preserve">Identify and make accessible general </w:t>
            </w:r>
            <w:r w:rsidRPr="001E43B3">
              <w:rPr>
                <w:rStyle w:val="Emphasis"/>
              </w:rPr>
              <w:t>grief and bereavement care information resources</w:t>
            </w:r>
          </w:p>
          <w:p w:rsidR="00000000" w:rsidRPr="001E43B3" w:rsidP="001E43B3">
            <w:pPr>
              <w:pStyle w:val="BodyText"/>
            </w:pPr>
            <w:r w:rsidRPr="001E43B3">
              <w:t>4.4</w:t>
            </w:r>
            <w:r w:rsidRPr="001E43B3">
              <w:tab/>
              <w:t>Fully inform individual about grief and bereavement care service options</w:t>
            </w:r>
          </w:p>
          <w:p w:rsidR="00000000" w:rsidP="001E43B3">
            <w:pPr>
              <w:pStyle w:val="BodyText"/>
              <w:rPr>
                <w:lang w:val="en-NZ"/>
              </w:rPr>
            </w:pPr>
            <w:r w:rsidRPr="001E43B3">
              <w:t>4.5</w:t>
            </w:r>
            <w:r w:rsidRPr="001E43B3">
              <w:tab/>
              <w:t xml:space="preserve">Obtain feedback </w:t>
            </w:r>
            <w:r w:rsidRPr="001E43B3">
              <w:t>from individual to determine whether options are clearly understood</w:t>
            </w:r>
          </w:p>
        </w:tc>
      </w:tr>
      <w:tr w:rsidTr="008137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p>
        </w:tc>
      </w:tr>
      <w:tr w:rsidTr="008137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E43B3">
            <w:pPr>
              <w:pStyle w:val="List"/>
              <w:rPr>
                <w:lang w:val="en-NZ"/>
              </w:rPr>
            </w:pPr>
            <w:r w:rsidRPr="001E43B3">
              <w:t>5.</w:t>
            </w:r>
            <w:r w:rsidRPr="001E43B3">
              <w:tab/>
              <w:t xml:space="preserve">Identify and recognise </w:t>
            </w:r>
            <w:r w:rsidRPr="001E43B3">
              <w:rPr>
                <w:rStyle w:val="Emphasis"/>
              </w:rPr>
              <w:t>risks associated with grief and bereavement support</w:t>
            </w:r>
          </w:p>
        </w:tc>
        <w:tc>
          <w:tcPr>
            <w:tcW w:w="5702" w:type="dxa"/>
            <w:tcBorders>
              <w:top w:val="nil"/>
              <w:left w:val="nil"/>
              <w:bottom w:val="nil"/>
              <w:right w:val="nil"/>
            </w:tcBorders>
            <w:tcMar>
              <w:top w:w="0" w:type="dxa"/>
              <w:left w:w="62" w:type="dxa"/>
              <w:bottom w:w="0" w:type="dxa"/>
              <w:right w:w="62" w:type="dxa"/>
            </w:tcMar>
          </w:tcPr>
          <w:p w:rsidR="00000000" w:rsidRPr="001E43B3" w:rsidP="001E43B3">
            <w:pPr>
              <w:pStyle w:val="BodyText"/>
            </w:pPr>
            <w:r w:rsidRPr="001E43B3">
              <w:t>5.1</w:t>
            </w:r>
            <w:r w:rsidRPr="001E43B3">
              <w:tab/>
              <w:t>Identify and recognise a range of risks associated with grief and bereavement support</w:t>
            </w:r>
          </w:p>
          <w:p w:rsidR="00000000" w:rsidP="001E43B3">
            <w:pPr>
              <w:pStyle w:val="BodyText"/>
              <w:rPr>
                <w:lang w:val="en-NZ"/>
              </w:rPr>
            </w:pPr>
            <w:r w:rsidRPr="001E43B3">
              <w:t>5.2</w:t>
            </w:r>
            <w:r w:rsidRPr="001E43B3">
              <w:tab/>
              <w:t xml:space="preserve">Develop and </w:t>
            </w:r>
            <w:r w:rsidRPr="001E43B3">
              <w:t xml:space="preserve">implement appropriate </w:t>
            </w:r>
            <w:r w:rsidRPr="001E43B3">
              <w:rPr>
                <w:rStyle w:val="Emphasis"/>
              </w:rPr>
              <w:t>strategies to minimise risks associated with grief and bereavement support</w:t>
            </w:r>
          </w:p>
        </w:tc>
      </w:tr>
      <w:tr w:rsidTr="008137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p>
        </w:tc>
      </w:tr>
      <w:tr w:rsidTr="008137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E43B3">
            <w:pPr>
              <w:pStyle w:val="List"/>
              <w:rPr>
                <w:lang w:val="en-NZ"/>
              </w:rPr>
            </w:pPr>
            <w:r w:rsidRPr="001E43B3">
              <w:t>6.</w:t>
            </w:r>
            <w:r w:rsidRPr="001E43B3">
              <w:tab/>
              <w:t>Access appropriate supervision and debriefing</w:t>
            </w:r>
          </w:p>
        </w:tc>
        <w:tc>
          <w:tcPr>
            <w:tcW w:w="5702" w:type="dxa"/>
            <w:tcBorders>
              <w:top w:val="nil"/>
              <w:left w:val="nil"/>
              <w:bottom w:val="nil"/>
              <w:right w:val="nil"/>
            </w:tcBorders>
            <w:tcMar>
              <w:top w:w="0" w:type="dxa"/>
              <w:left w:w="62" w:type="dxa"/>
              <w:bottom w:w="0" w:type="dxa"/>
              <w:right w:w="62" w:type="dxa"/>
            </w:tcMar>
          </w:tcPr>
          <w:p w:rsidR="00000000" w:rsidRPr="001E43B3" w:rsidP="001E43B3">
            <w:pPr>
              <w:pStyle w:val="BodyText"/>
            </w:pPr>
            <w:r w:rsidRPr="001E43B3">
              <w:t>6.1</w:t>
            </w:r>
            <w:r w:rsidRPr="001E43B3">
              <w:tab/>
              <w:t xml:space="preserve">Identify the </w:t>
            </w:r>
            <w:r w:rsidRPr="001E43B3">
              <w:rPr>
                <w:rStyle w:val="Emphasis"/>
              </w:rPr>
              <w:t>need to access appropriate supervision</w:t>
            </w:r>
          </w:p>
          <w:p w:rsidR="00000000" w:rsidRPr="001E43B3" w:rsidP="001E43B3">
            <w:pPr>
              <w:pStyle w:val="BodyText"/>
            </w:pPr>
            <w:r w:rsidRPr="001E43B3">
              <w:t>6.2</w:t>
            </w:r>
            <w:r w:rsidRPr="001E43B3">
              <w:tab/>
              <w:t xml:space="preserve">Identify the </w:t>
            </w:r>
            <w:r w:rsidRPr="001E43B3">
              <w:rPr>
                <w:rStyle w:val="Emphasis"/>
              </w:rPr>
              <w:t>need to access appropriate debriefing</w:t>
            </w:r>
          </w:p>
          <w:p w:rsidR="00000000" w:rsidP="001E43B3">
            <w:pPr>
              <w:pStyle w:val="BodyText"/>
              <w:rPr>
                <w:lang w:val="en-NZ"/>
              </w:rPr>
            </w:pPr>
            <w:r w:rsidRPr="001E43B3">
              <w:t>6.3</w:t>
            </w:r>
            <w:r w:rsidRPr="001E43B3">
              <w:tab/>
              <w:t>Develop and implement appropriate strategies to access supervision and debriefing</w:t>
            </w:r>
          </w:p>
        </w:tc>
      </w:tr>
      <w:tr w:rsidTr="008137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p>
        </w:tc>
      </w:tr>
      <w:tr w:rsidTr="008137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E43B3">
            <w:pPr>
              <w:pStyle w:val="List"/>
              <w:rPr>
                <w:lang w:val="en-NZ"/>
              </w:rPr>
            </w:pPr>
            <w:r w:rsidRPr="001E43B3">
              <w:t>7.</w:t>
            </w:r>
            <w:r w:rsidRPr="001E43B3">
              <w:tab/>
              <w:t>Review and evaluate grief and bereavement support provided</w:t>
            </w:r>
          </w:p>
        </w:tc>
        <w:tc>
          <w:tcPr>
            <w:tcW w:w="5702" w:type="dxa"/>
            <w:tcBorders>
              <w:top w:val="nil"/>
              <w:left w:val="nil"/>
              <w:bottom w:val="nil"/>
              <w:right w:val="nil"/>
            </w:tcBorders>
            <w:tcMar>
              <w:top w:w="0" w:type="dxa"/>
              <w:left w:w="62" w:type="dxa"/>
              <w:bottom w:w="0" w:type="dxa"/>
              <w:right w:w="62" w:type="dxa"/>
            </w:tcMar>
          </w:tcPr>
          <w:p w:rsidR="00000000" w:rsidRPr="001E43B3" w:rsidP="001E43B3">
            <w:pPr>
              <w:pStyle w:val="BodyText"/>
            </w:pPr>
            <w:r w:rsidRPr="001E43B3">
              <w:t>7.1</w:t>
            </w:r>
            <w:r w:rsidRPr="001E43B3">
              <w:tab/>
              <w:t>Reflect on outcomes during and after support is provided</w:t>
            </w:r>
          </w:p>
          <w:p w:rsidR="00000000" w:rsidRPr="001E43B3" w:rsidP="001E43B3">
            <w:pPr>
              <w:pStyle w:val="BodyText"/>
            </w:pPr>
            <w:r w:rsidRPr="001E43B3">
              <w:t>7.2</w:t>
            </w:r>
            <w:r w:rsidRPr="001E43B3">
              <w:tab/>
            </w:r>
            <w:r w:rsidRPr="001E43B3">
              <w:t>Identify where further support is required</w:t>
            </w:r>
          </w:p>
          <w:p w:rsidR="00000000" w:rsidP="001E43B3">
            <w:pPr>
              <w:pStyle w:val="BodyText"/>
              <w:rPr>
                <w:lang w:val="en-NZ"/>
              </w:rPr>
            </w:pPr>
            <w:r w:rsidRPr="001E43B3">
              <w:t>7.3</w:t>
            </w:r>
            <w:r w:rsidRPr="001E43B3">
              <w:tab/>
              <w:t>Review practices for continuous improvement</w:t>
            </w:r>
          </w:p>
        </w:tc>
      </w:tr>
      <w:tr w:rsidTr="008137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E43B3" w:rsidP="001E43B3">
            <w:pPr>
              <w:pStyle w:val="BodyText"/>
            </w:pPr>
          </w:p>
        </w:tc>
      </w:tr>
    </w:tbl>
    <w:p w:rsidR="0081374C" w:rsidP="001E43B3">
      <w:pPr>
        <w:pStyle w:val="BodyText"/>
      </w:pPr>
    </w:p>
    <w:p w:rsidR="0081374C" w:rsidP="001E43B3">
      <w:pPr>
        <w:pStyle w:val="BodyText"/>
      </w:pPr>
    </w:p>
    <w:p w:rsidR="00000000" w:rsidRPr="001E43B3" w:rsidP="001E43B3">
      <w:pPr>
        <w:pStyle w:val="Heading1"/>
      </w:pPr>
      <w:bookmarkStart w:id="9" w:name="O_257628"/>
      <w:bookmarkEnd w:id="9"/>
      <w:r w:rsidRPr="001E43B3">
        <w:t>Required Skills and Knowledge</w:t>
      </w:r>
    </w:p>
    <w:tbl>
      <w:tblPr>
        <w:tblW w:w="0" w:type="auto"/>
        <w:tblLayout w:type="fixed"/>
        <w:tblCellMar>
          <w:left w:w="62" w:type="dxa"/>
          <w:right w:w="62" w:type="dxa"/>
        </w:tblCellMar>
        <w:tblLook w:val="0000"/>
      </w:tblPr>
      <w:tblGrid>
        <w:gridCol w:w="9072"/>
      </w:tblGrid>
      <w:tr w:rsidTr="0081374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r w:rsidRPr="001E43B3">
              <w:rPr>
                <w:rStyle w:val="SpecialBold"/>
              </w:rPr>
              <w:t>REQUIRED SKILLS AND KNOWLEDGE</w:t>
            </w:r>
          </w:p>
        </w:tc>
      </w:tr>
      <w:tr w:rsidTr="008137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p>
        </w:tc>
      </w:tr>
      <w:tr w:rsidTr="008137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r w:rsidRPr="001E43B3">
              <w:t>This describes the essential skills and knowledge and their level required for this unit.</w:t>
            </w:r>
          </w:p>
        </w:tc>
      </w:tr>
      <w:tr w:rsidTr="008137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p>
        </w:tc>
      </w:tr>
      <w:tr w:rsidTr="008137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E43B3" w:rsidP="001E43B3">
            <w:pPr>
              <w:pStyle w:val="BodyText"/>
            </w:pPr>
            <w:r w:rsidRPr="001E43B3">
              <w:rPr>
                <w:rStyle w:val="Emphasis"/>
              </w:rPr>
              <w:t>Essential knowledge</w:t>
            </w:r>
            <w:r w:rsidRPr="001E43B3">
              <w:t>:</w:t>
            </w:r>
          </w:p>
          <w:p w:rsidR="00000000" w:rsidRPr="001E43B3" w:rsidP="001E43B3">
            <w:pPr>
              <w:pStyle w:val="BodyText"/>
            </w:pPr>
            <w:r w:rsidRPr="001E43B3">
              <w:t>The candidate must be able to demonstrate essential knowledge required to effectively do the task outlined in elements and performance criteri</w:t>
            </w:r>
            <w:r w:rsidRPr="001E43B3">
              <w:t>a of this unit, manage the task and manage contingencies in the context of the identified work role</w:t>
            </w:r>
          </w:p>
          <w:p w:rsidR="00000000" w:rsidRPr="001E43B3" w:rsidP="001E43B3">
            <w:pPr>
              <w:pStyle w:val="BodyText"/>
            </w:pPr>
            <w:r w:rsidRPr="001E43B3">
              <w:t>These include knowledge of:</w:t>
            </w:r>
          </w:p>
          <w:p w:rsidR="00000000" w:rsidRPr="001E43B3" w:rsidP="001E43B3">
            <w:pPr>
              <w:pStyle w:val="ListBullet"/>
            </w:pPr>
            <w:r w:rsidRPr="001E43B3">
              <w:t>Potential impact of specific loss(es) and common features of grief and bereavement at the individual, family and community leve</w:t>
            </w:r>
            <w:r w:rsidRPr="001E43B3">
              <w:t>l</w:t>
            </w:r>
          </w:p>
          <w:p w:rsidR="00000000" w:rsidRPr="001E43B3" w:rsidP="001E43B3">
            <w:pPr>
              <w:pStyle w:val="ListBullet"/>
            </w:pPr>
            <w:r w:rsidRPr="001E43B3">
              <w:t>Potential impact of specific loss(es) and common features of trauma at the individual, family and community level</w:t>
            </w:r>
          </w:p>
          <w:p w:rsidR="00000000" w:rsidRPr="001E43B3" w:rsidP="001E43B3">
            <w:pPr>
              <w:pStyle w:val="ListBullet"/>
            </w:pPr>
            <w:r w:rsidRPr="001E43B3">
              <w:t>Potential impact of specific loss(es) and common features of complex grief at the individual, family and community level</w:t>
            </w:r>
          </w:p>
          <w:p w:rsidR="00000000" w:rsidRPr="001E43B3" w:rsidP="001E43B3">
            <w:pPr>
              <w:pStyle w:val="ListBullet"/>
            </w:pPr>
            <w:r w:rsidRPr="001E43B3">
              <w:t>Reactions to loss and associated expressions of grief and bereavement</w:t>
            </w:r>
          </w:p>
          <w:p w:rsidR="00000000" w:rsidRPr="001E43B3" w:rsidP="001E43B3">
            <w:pPr>
              <w:pStyle w:val="ListBullet"/>
            </w:pPr>
            <w:r w:rsidRPr="001E43B3">
              <w:t>Awareness of how loss, grief and bereavement can impact on social and emotional health and well being</w:t>
            </w:r>
          </w:p>
          <w:p w:rsidR="00000000" w:rsidRPr="001E43B3" w:rsidP="001E43B3">
            <w:pPr>
              <w:pStyle w:val="ListBullet"/>
            </w:pPr>
            <w:r w:rsidRPr="001E43B3">
              <w:t xml:space="preserve">Integration of loss </w:t>
            </w:r>
          </w:p>
          <w:p w:rsidR="00000000" w:rsidRPr="001E43B3" w:rsidP="001E43B3">
            <w:pPr>
              <w:pStyle w:val="ListBullet"/>
            </w:pPr>
            <w:r w:rsidRPr="001E43B3">
              <w:t xml:space="preserve">Distinctive social, cultural, ethnic and spiritual differences </w:t>
            </w:r>
            <w:r w:rsidRPr="001E43B3">
              <w:t>in loss, grief and bereavement</w:t>
            </w:r>
          </w:p>
          <w:p w:rsidR="00000000" w:rsidRPr="001E43B3" w:rsidP="001E43B3">
            <w:pPr>
              <w:pStyle w:val="ListBullet"/>
            </w:pPr>
            <w:r w:rsidRPr="001E43B3">
              <w:t xml:space="preserve">Awareness of the context and circumstances prior to loss and their impact on grief and bereavement </w:t>
            </w:r>
          </w:p>
          <w:p w:rsidR="00000000" w:rsidRPr="001E43B3" w:rsidP="001E43B3">
            <w:pPr>
              <w:pStyle w:val="ListBullet"/>
            </w:pPr>
            <w:r w:rsidRPr="001E43B3">
              <w:t>Awareness of the broad spectrum of loss</w:t>
            </w:r>
          </w:p>
          <w:p w:rsidR="00000000" w:rsidRPr="001E43B3" w:rsidP="001E43B3">
            <w:pPr>
              <w:pStyle w:val="ListBullet"/>
            </w:pPr>
            <w:r w:rsidRPr="001E43B3">
              <w:t>Strategies for formal and informal grief and bereavement support</w:t>
            </w:r>
          </w:p>
          <w:p w:rsidR="00000000" w:rsidRPr="001E43B3" w:rsidP="001E43B3">
            <w:pPr>
              <w:pStyle w:val="ListBullet"/>
            </w:pPr>
            <w:r w:rsidRPr="001E43B3">
              <w:t xml:space="preserve">Available grief and </w:t>
            </w:r>
            <w:r w:rsidRPr="001E43B3">
              <w:t xml:space="preserve">bereavement care services and information resources </w:t>
            </w:r>
          </w:p>
          <w:p w:rsidR="00000000" w:rsidP="001E43B3">
            <w:pPr>
              <w:pStyle w:val="ListBullet"/>
              <w:rPr>
                <w:lang w:val="en-NZ"/>
              </w:rPr>
            </w:pPr>
            <w:r w:rsidRPr="001E43B3">
              <w:t>Understanding of a 'stress vulnerability model'</w:t>
            </w:r>
          </w:p>
        </w:tc>
      </w:tr>
      <w:tr w:rsidTr="008137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p>
        </w:tc>
      </w:tr>
      <w:tr w:rsidTr="008137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E43B3" w:rsidP="001E43B3">
            <w:pPr>
              <w:pStyle w:val="BodyText"/>
            </w:pPr>
            <w:r w:rsidRPr="001E43B3">
              <w:rPr>
                <w:rStyle w:val="Emphasis"/>
              </w:rPr>
              <w:t>Essential skills</w:t>
            </w:r>
            <w:r w:rsidRPr="001E43B3">
              <w:t>:</w:t>
            </w:r>
          </w:p>
          <w:p w:rsidR="00000000" w:rsidRPr="001E43B3" w:rsidP="001E43B3">
            <w:pPr>
              <w:pStyle w:val="BodyText"/>
            </w:pPr>
            <w:r w:rsidRPr="001E43B3">
              <w:t>It is critical that the candidate demonstrate the ability to:</w:t>
            </w:r>
          </w:p>
          <w:p w:rsidR="00000000" w:rsidRPr="001E43B3" w:rsidP="001E43B3">
            <w:pPr>
              <w:pStyle w:val="ListBullet"/>
            </w:pPr>
            <w:r w:rsidRPr="001E43B3">
              <w:t>Recognise expressions of loss, grief, trauma and bereavement</w:t>
            </w:r>
          </w:p>
          <w:p w:rsidR="00000000" w:rsidRPr="001E43B3" w:rsidP="001E43B3">
            <w:pPr>
              <w:pStyle w:val="ListBullet"/>
            </w:pPr>
            <w:r w:rsidRPr="001E43B3">
              <w:t>Respond appropriately to a range of approaches and responses to loss, grief and trauma</w:t>
            </w:r>
          </w:p>
          <w:p w:rsidR="00000000" w:rsidRPr="001E43B3" w:rsidP="001E43B3">
            <w:pPr>
              <w:pStyle w:val="ListBullet"/>
            </w:pPr>
            <w:r w:rsidRPr="001E43B3">
              <w:t>Engage with individuals experiencing loss, grief trauma and bereavement with empathy, sensitivity, professionalism and courtesy</w:t>
            </w:r>
          </w:p>
          <w:p w:rsidR="00000000" w:rsidRPr="001E43B3" w:rsidP="001E43B3">
            <w:pPr>
              <w:pStyle w:val="ListBullet"/>
            </w:pPr>
            <w:r w:rsidRPr="001E43B3">
              <w:t xml:space="preserve">Refer individuals who show some signs of </w:t>
            </w:r>
            <w:r w:rsidRPr="001E43B3">
              <w:t>mental illness to appropriate services</w:t>
            </w:r>
          </w:p>
          <w:p w:rsidR="00000000" w:rsidRPr="001E43B3" w:rsidP="001E43B3">
            <w:pPr>
              <w:pStyle w:val="BodyText"/>
            </w:pPr>
          </w:p>
          <w:p w:rsidR="00000000" w:rsidRPr="001E43B3" w:rsidP="001E43B3">
            <w:pPr>
              <w:pStyle w:val="BodyText"/>
            </w:pPr>
            <w:r w:rsidRPr="001E43B3">
              <w:t>In addition, the candidate must be able to effectively do the task outlined in elements and performance criteria of this unit, manage the task and manage contingencies in the context of the identified work role</w:t>
            </w:r>
          </w:p>
          <w:p w:rsidR="00000000" w:rsidRPr="001E43B3" w:rsidP="001E43B3">
            <w:pPr>
              <w:pStyle w:val="BodyText"/>
            </w:pPr>
            <w:r w:rsidRPr="001E43B3">
              <w:t>These</w:t>
            </w:r>
            <w:r w:rsidRPr="001E43B3">
              <w:t xml:space="preserve"> include the ability to:</w:t>
            </w:r>
          </w:p>
          <w:p w:rsidR="00000000" w:rsidRPr="001E43B3" w:rsidP="001E43B3">
            <w:pPr>
              <w:pStyle w:val="ListBullet"/>
            </w:pPr>
            <w:r w:rsidRPr="001E43B3">
              <w:t>Apply verbal and non-verbal approaches to dealing with and responding to grieving individuals</w:t>
            </w:r>
          </w:p>
          <w:p w:rsidR="00000000" w:rsidRPr="001E43B3" w:rsidP="001E43B3">
            <w:pPr>
              <w:pStyle w:val="ListBullet"/>
            </w:pPr>
            <w:r w:rsidRPr="001E43B3">
              <w:t>Use effective communication skills, including:</w:t>
            </w:r>
          </w:p>
          <w:p w:rsidR="00000000" w:rsidRPr="001E43B3" w:rsidP="001E43B3">
            <w:pPr>
              <w:pStyle w:val="ListBullet2"/>
            </w:pPr>
            <w:r w:rsidRPr="001E43B3">
              <w:t>empathic listening skills</w:t>
            </w:r>
          </w:p>
          <w:p w:rsidR="00000000" w:rsidRPr="001E43B3" w:rsidP="001E43B3">
            <w:pPr>
              <w:pStyle w:val="ListBullet2"/>
            </w:pPr>
            <w:r w:rsidRPr="001E43B3">
              <w:t>use appropriate communication techniques to respond to individ</w:t>
            </w:r>
            <w:r w:rsidRPr="001E43B3">
              <w:t xml:space="preserve">ual needs </w:t>
            </w:r>
          </w:p>
          <w:p w:rsidR="00000000" w:rsidRPr="001E43B3" w:rsidP="001E43B3">
            <w:pPr>
              <w:pStyle w:val="ListBullet2"/>
            </w:pPr>
            <w:r w:rsidRPr="001E43B3">
              <w:t>provide information clearly and sensitively</w:t>
            </w:r>
          </w:p>
          <w:p w:rsidR="00000000" w:rsidRPr="001E43B3" w:rsidP="001E43B3">
            <w:pPr>
              <w:pStyle w:val="ListBullet2"/>
            </w:pPr>
            <w:r w:rsidRPr="001E43B3">
              <w:t>obtain feedback to confirm understanding</w:t>
            </w:r>
          </w:p>
          <w:p w:rsidR="00000000" w:rsidP="001E43B3">
            <w:pPr>
              <w:pStyle w:val="ListBullet"/>
              <w:rPr>
                <w:lang w:val="en-NZ"/>
              </w:rPr>
            </w:pPr>
            <w:r w:rsidRPr="001E43B3">
              <w:t>Maintain documentation as required, including effective use of relevant information technology in line with occupational health and safety (OHS) guidelines</w:t>
            </w:r>
          </w:p>
        </w:tc>
      </w:tr>
      <w:tr w:rsidTr="008137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E43B3" w:rsidP="001E43B3">
            <w:pPr>
              <w:pStyle w:val="BodyText"/>
            </w:pPr>
          </w:p>
        </w:tc>
      </w:tr>
    </w:tbl>
    <w:p w:rsidR="0081374C" w:rsidP="001E43B3">
      <w:pPr>
        <w:pStyle w:val="BodyText"/>
      </w:pPr>
    </w:p>
    <w:p w:rsidR="0081374C" w:rsidP="001E43B3">
      <w:pPr>
        <w:pStyle w:val="BodyText"/>
      </w:pPr>
    </w:p>
    <w:p w:rsidR="00000000" w:rsidRPr="001E43B3" w:rsidP="001E43B3">
      <w:pPr>
        <w:pStyle w:val="Heading1"/>
      </w:pPr>
      <w:bookmarkStart w:id="10" w:name="O_241662"/>
      <w:bookmarkEnd w:id="10"/>
      <w:r w:rsidRPr="001E43B3">
        <w:t>Evidence Guide</w:t>
      </w:r>
    </w:p>
    <w:tbl>
      <w:tblPr>
        <w:tblW w:w="0" w:type="auto"/>
        <w:tblLayout w:type="fixed"/>
        <w:tblCellMar>
          <w:left w:w="62" w:type="dxa"/>
          <w:right w:w="62" w:type="dxa"/>
        </w:tblCellMar>
        <w:tblLook w:val="0000"/>
      </w:tblPr>
      <w:tblGrid>
        <w:gridCol w:w="3402"/>
        <w:gridCol w:w="5670"/>
      </w:tblGrid>
      <w:tr w:rsidTr="0081374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E43B3">
            <w:pPr>
              <w:pStyle w:val="BodyText"/>
              <w:rPr>
                <w:lang w:val="en-NZ"/>
              </w:rPr>
            </w:pPr>
            <w:r w:rsidRPr="001E43B3">
              <w:rPr>
                <w:rStyle w:val="SpecialBold"/>
              </w:rPr>
              <w:t>EVIDENCE GUIDE</w:t>
            </w:r>
          </w:p>
        </w:tc>
      </w:tr>
      <w:tr w:rsidTr="008137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43B3">
            <w:pPr>
              <w:pStyle w:val="BodyText"/>
              <w:rPr>
                <w:lang w:val="en-NZ"/>
              </w:rPr>
            </w:pPr>
          </w:p>
        </w:tc>
      </w:tr>
      <w:tr w:rsidTr="008137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43B3">
            <w:pPr>
              <w:pStyle w:val="BodyText"/>
              <w:rPr>
                <w:lang w:val="en-NZ"/>
              </w:rPr>
            </w:pPr>
            <w:r w:rsidRPr="001E43B3">
              <w:t xml:space="preserve">The evidence guide provides advice on assessment and must be read in conjunction with the Performance Criteria, Required Skills and Knowledge, </w:t>
            </w:r>
            <w:r w:rsidRPr="001E43B3">
              <w:t>the Range Statement and the Assessment Guidelines for this Training Package.</w:t>
            </w:r>
          </w:p>
        </w:tc>
      </w:tr>
      <w:tr w:rsidTr="008137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43B3">
            <w:pPr>
              <w:pStyle w:val="BodyText"/>
              <w:rPr>
                <w:lang w:val="en-NZ"/>
              </w:rPr>
            </w:pP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r w:rsidRPr="001E43B3">
              <w:rPr>
                <w:rStyle w:val="Emphasis"/>
              </w:rPr>
              <w:t>Critical aspects for assessment and evidence required to demonstrate this unit of competency</w:t>
            </w:r>
            <w:r w:rsidRPr="001E43B3">
              <w:t xml:space="preserve">: </w:t>
            </w:r>
          </w:p>
        </w:tc>
        <w:tc>
          <w:tcPr>
            <w:tcW w:w="5670" w:type="dxa"/>
            <w:tcBorders>
              <w:top w:val="nil"/>
              <w:left w:val="nil"/>
              <w:bottom w:val="nil"/>
              <w:right w:val="nil"/>
            </w:tcBorders>
            <w:tcMar>
              <w:top w:w="0" w:type="dxa"/>
              <w:left w:w="62" w:type="dxa"/>
              <w:bottom w:w="0" w:type="dxa"/>
              <w:right w:w="62" w:type="dxa"/>
            </w:tcMar>
          </w:tcPr>
          <w:p w:rsidR="00000000" w:rsidRPr="001E43B3" w:rsidP="001E43B3">
            <w:pPr>
              <w:pStyle w:val="ListBullet"/>
            </w:pPr>
            <w:r w:rsidRPr="001E43B3">
              <w:t>The individual being assessed must provide evidence of specified essential knowledge as well as skills</w:t>
            </w:r>
          </w:p>
          <w:p w:rsidR="00000000" w:rsidRPr="001E43B3" w:rsidP="001E43B3">
            <w:pPr>
              <w:pStyle w:val="ListBullet"/>
            </w:pPr>
            <w:r w:rsidRPr="001E43B3">
              <w:t>This unit is best assessed in the workplace or in a simulated workplace under the normal of range conditions</w:t>
            </w:r>
          </w:p>
          <w:p w:rsidR="00000000" w:rsidP="001E43B3">
            <w:pPr>
              <w:pStyle w:val="ListBullet"/>
              <w:rPr>
                <w:lang w:val="en-NZ"/>
              </w:rPr>
            </w:pPr>
            <w:r w:rsidRPr="001E43B3">
              <w:t>Assessment should be gathered on one or more</w:t>
            </w:r>
            <w:r w:rsidRPr="001E43B3">
              <w:t xml:space="preserve"> occasions but must reflect the normal range of client situations encountered in the workplace</w:t>
            </w: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r w:rsidRPr="001E43B3">
              <w:rPr>
                <w:rStyle w:val="Emphasis"/>
              </w:rPr>
              <w:t>Access and equity considerations</w:t>
            </w:r>
            <w:r w:rsidRPr="001E43B3">
              <w:t>:</w:t>
            </w:r>
          </w:p>
        </w:tc>
        <w:tc>
          <w:tcPr>
            <w:tcW w:w="5670" w:type="dxa"/>
            <w:tcBorders>
              <w:top w:val="nil"/>
              <w:left w:val="nil"/>
              <w:bottom w:val="nil"/>
              <w:right w:val="nil"/>
            </w:tcBorders>
            <w:tcMar>
              <w:top w:w="0" w:type="dxa"/>
              <w:left w:w="62" w:type="dxa"/>
              <w:bottom w:w="0" w:type="dxa"/>
              <w:right w:w="62" w:type="dxa"/>
            </w:tcMar>
          </w:tcPr>
          <w:p w:rsidR="00000000" w:rsidRPr="001E43B3" w:rsidP="001E43B3">
            <w:pPr>
              <w:pStyle w:val="ListBullet"/>
            </w:pPr>
            <w:r w:rsidRPr="001E43B3">
              <w:t xml:space="preserve">All workers in community services should be aware of access, equity and human rights </w:t>
            </w:r>
            <w:r w:rsidRPr="001E43B3">
              <w:t>issues in relation to their own area of work</w:t>
            </w:r>
          </w:p>
          <w:p w:rsidR="00000000" w:rsidRPr="001E43B3" w:rsidP="001E43B3">
            <w:pPr>
              <w:pStyle w:val="ListBullet"/>
            </w:pPr>
            <w:r w:rsidRPr="001E43B3">
              <w:t xml:space="preserve">All workers should develop their ability to work in a culturally diverse environment </w:t>
            </w:r>
          </w:p>
          <w:p w:rsidR="00000000" w:rsidRPr="001E43B3" w:rsidP="001E43B3">
            <w:pPr>
              <w:pStyle w:val="ListBullet"/>
            </w:pPr>
            <w:r w:rsidRPr="001E43B3">
              <w:t>In recognition of particular issues facing Aboriginal and Torres Strait Islander communities, workers should be aware of cult</w:t>
            </w:r>
            <w:r w:rsidRPr="001E43B3">
              <w:t>ural, historical and current issues impacting on Aboriginal and Torres Strait Islander people</w:t>
            </w:r>
          </w:p>
          <w:p w:rsidR="00000000" w:rsidP="001E43B3">
            <w:pPr>
              <w:pStyle w:val="ListBullet"/>
              <w:rPr>
                <w:lang w:val="en-NZ"/>
              </w:rPr>
            </w:pPr>
            <w:r w:rsidRPr="001E43B3">
              <w:t>Assessors and trainers must take into account relevant access and equity issues, in particular relating to factors impacting on Aboriginal and/or Torres Strait Is</w:t>
            </w:r>
            <w:r w:rsidRPr="001E43B3">
              <w:t>lander clients and communities</w:t>
            </w: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r w:rsidRPr="001E43B3">
              <w:rPr>
                <w:rStyle w:val="Emphasis"/>
              </w:rPr>
              <w:t>Context of and specific resources for assessment</w:t>
            </w:r>
            <w:r w:rsidRPr="001E43B3">
              <w:t xml:space="preserve">: </w:t>
            </w:r>
          </w:p>
        </w:tc>
        <w:tc>
          <w:tcPr>
            <w:tcW w:w="5670" w:type="dxa"/>
            <w:tcBorders>
              <w:top w:val="nil"/>
              <w:left w:val="nil"/>
              <w:bottom w:val="nil"/>
              <w:right w:val="nil"/>
            </w:tcBorders>
            <w:tcMar>
              <w:top w:w="0" w:type="dxa"/>
              <w:left w:w="62" w:type="dxa"/>
              <w:bottom w:w="0" w:type="dxa"/>
              <w:right w:w="62" w:type="dxa"/>
            </w:tcMar>
          </w:tcPr>
          <w:p w:rsidR="00000000" w:rsidP="001E43B3">
            <w:pPr>
              <w:pStyle w:val="ListBullet"/>
              <w:rPr>
                <w:lang w:val="en-NZ"/>
              </w:rPr>
            </w:pPr>
            <w:r w:rsidRPr="001E43B3">
              <w:t>This unit can be assessed independently, however holistic assessment practice with other community services units of competency is encouraged</w:t>
            </w: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r w:rsidRPr="001E43B3">
              <w:rPr>
                <w:rStyle w:val="Emphasis"/>
              </w:rPr>
              <w:t>Method of assessment</w:t>
            </w:r>
            <w:r w:rsidRPr="001E43B3">
              <w:t>:</w:t>
            </w:r>
          </w:p>
        </w:tc>
        <w:tc>
          <w:tcPr>
            <w:tcW w:w="5670" w:type="dxa"/>
            <w:tcBorders>
              <w:top w:val="nil"/>
              <w:left w:val="nil"/>
              <w:bottom w:val="nil"/>
              <w:right w:val="nil"/>
            </w:tcBorders>
            <w:tcMar>
              <w:top w:w="0" w:type="dxa"/>
              <w:left w:w="62" w:type="dxa"/>
              <w:bottom w:w="0" w:type="dxa"/>
              <w:right w:w="62" w:type="dxa"/>
            </w:tcMar>
          </w:tcPr>
          <w:p w:rsidR="00000000" w:rsidRPr="001E43B3" w:rsidP="001E43B3">
            <w:pPr>
              <w:pStyle w:val="ListBullet"/>
            </w:pPr>
            <w:r w:rsidRPr="001E43B3">
              <w:t>Consistent performance and development would be expected to be demonstrated involving a combination of oral and written media while also featuring simulated and actual practice</w:t>
            </w:r>
          </w:p>
          <w:p w:rsidR="00000000" w:rsidRPr="001E43B3" w:rsidP="001E43B3">
            <w:pPr>
              <w:pStyle w:val="ListBullet"/>
            </w:pPr>
            <w:r w:rsidRPr="001E43B3">
              <w:t>Examples might include:</w:t>
            </w:r>
          </w:p>
          <w:p w:rsidR="00000000" w:rsidRPr="001E43B3" w:rsidP="001E43B3">
            <w:pPr>
              <w:pStyle w:val="ListBullet2"/>
            </w:pPr>
            <w:r w:rsidRPr="001E43B3">
              <w:t>group exercises</w:t>
            </w:r>
          </w:p>
          <w:p w:rsidR="00000000" w:rsidRPr="001E43B3" w:rsidP="001E43B3">
            <w:pPr>
              <w:pStyle w:val="ListBullet2"/>
            </w:pPr>
            <w:r w:rsidRPr="001E43B3">
              <w:t>written (e.g. journal) and verbal resp</w:t>
            </w:r>
            <w:r w:rsidRPr="001E43B3">
              <w:t>onses to questioning</w:t>
            </w:r>
          </w:p>
          <w:p w:rsidR="00000000" w:rsidP="001E43B3">
            <w:pPr>
              <w:pStyle w:val="ListBullet2"/>
              <w:rPr>
                <w:lang w:val="en-NZ"/>
              </w:rPr>
            </w:pPr>
            <w:r w:rsidRPr="001E43B3">
              <w:t>simulated exercises</w:t>
            </w: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E43B3" w:rsidP="001E43B3">
            <w:pPr>
              <w:pStyle w:val="BodyText"/>
            </w:pPr>
          </w:p>
        </w:tc>
      </w:tr>
    </w:tbl>
    <w:p w:rsidR="0081374C" w:rsidP="001E43B3">
      <w:pPr>
        <w:pStyle w:val="BodyText"/>
      </w:pPr>
    </w:p>
    <w:p w:rsidR="0081374C" w:rsidP="001E43B3">
      <w:pPr>
        <w:pStyle w:val="BodyText"/>
      </w:pPr>
    </w:p>
    <w:p w:rsidR="00000000" w:rsidRPr="001E43B3" w:rsidP="001E43B3">
      <w:pPr>
        <w:pStyle w:val="Heading1"/>
      </w:pPr>
      <w:bookmarkStart w:id="11" w:name="O_249645"/>
      <w:bookmarkEnd w:id="11"/>
      <w:r w:rsidRPr="001E43B3">
        <w:t>Range Statement</w:t>
      </w:r>
    </w:p>
    <w:tbl>
      <w:tblPr>
        <w:tblW w:w="0" w:type="auto"/>
        <w:tblLayout w:type="fixed"/>
        <w:tblCellMar>
          <w:left w:w="62" w:type="dxa"/>
          <w:right w:w="62" w:type="dxa"/>
        </w:tblCellMar>
        <w:tblLook w:val="0000"/>
      </w:tblPr>
      <w:tblGrid>
        <w:gridCol w:w="3402"/>
        <w:gridCol w:w="5670"/>
      </w:tblGrid>
      <w:tr w:rsidTr="0081374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E43B3">
            <w:pPr>
              <w:pStyle w:val="BodyText"/>
              <w:rPr>
                <w:lang w:val="en-NZ"/>
              </w:rPr>
            </w:pPr>
            <w:r w:rsidRPr="001E43B3">
              <w:rPr>
                <w:rStyle w:val="SpecialBold"/>
              </w:rPr>
              <w:t>RANGE STATEMENT</w:t>
            </w:r>
          </w:p>
        </w:tc>
      </w:tr>
      <w:tr w:rsidTr="008137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43B3">
            <w:pPr>
              <w:pStyle w:val="BodyText"/>
              <w:rPr>
                <w:lang w:val="en-NZ"/>
              </w:rPr>
            </w:pPr>
          </w:p>
        </w:tc>
      </w:tr>
      <w:tr w:rsidTr="008137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43B3">
            <w:pPr>
              <w:pStyle w:val="BodyText"/>
              <w:rPr>
                <w:lang w:val="en-NZ"/>
              </w:rPr>
            </w:pPr>
            <w:r w:rsidRPr="001E43B3">
              <w:t xml:space="preserve">The Range Statement relates to the unit of competency as a whole. It allows for different work environments and situations that may affect </w:t>
            </w:r>
            <w:r w:rsidRPr="001E43B3">
              <w:t>performance. Add any essential operating conditions that may be present with training and assessment depending on the work situation, needs of the candidate, accessibility of the item, and local industry and regional contexts.</w:t>
            </w: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r w:rsidRPr="001E43B3">
              <w:rPr>
                <w:rStyle w:val="Emphasis"/>
              </w:rPr>
              <w:t>Loss may include</w:t>
            </w:r>
            <w:r w:rsidRPr="001E43B3">
              <w:t>:</w:t>
            </w:r>
          </w:p>
        </w:tc>
        <w:tc>
          <w:tcPr>
            <w:tcW w:w="5670" w:type="dxa"/>
            <w:tcBorders>
              <w:top w:val="nil"/>
              <w:left w:val="nil"/>
              <w:bottom w:val="nil"/>
              <w:right w:val="nil"/>
            </w:tcBorders>
            <w:tcMar>
              <w:top w:w="0" w:type="dxa"/>
              <w:left w:w="62" w:type="dxa"/>
              <w:bottom w:w="0" w:type="dxa"/>
              <w:right w:w="62" w:type="dxa"/>
            </w:tcMar>
          </w:tcPr>
          <w:p w:rsidR="00000000" w:rsidRPr="001E43B3" w:rsidP="001E43B3">
            <w:pPr>
              <w:pStyle w:val="ListBullet"/>
            </w:pPr>
            <w:r w:rsidRPr="001E43B3">
              <w:t>Prima</w:t>
            </w:r>
            <w:r w:rsidRPr="001E43B3">
              <w:t>ry losses</w:t>
            </w:r>
          </w:p>
          <w:p w:rsidR="00000000" w:rsidRPr="001E43B3" w:rsidP="001E43B3">
            <w:pPr>
              <w:pStyle w:val="ListBullet"/>
            </w:pPr>
            <w:r w:rsidRPr="001E43B3">
              <w:t>Secondary losses:</w:t>
            </w:r>
          </w:p>
          <w:p w:rsidR="00000000" w:rsidRPr="001E43B3" w:rsidP="001E43B3">
            <w:pPr>
              <w:pStyle w:val="ListBullet2"/>
            </w:pPr>
            <w:r w:rsidRPr="001E43B3">
              <w:t xml:space="preserve">losses of the internal world, such as loss of cognitive or sensory capacity </w:t>
            </w:r>
          </w:p>
          <w:p w:rsidR="00000000" w:rsidRPr="001E43B3" w:rsidP="001E43B3">
            <w:pPr>
              <w:pStyle w:val="ListBullet2"/>
            </w:pPr>
            <w:r w:rsidRPr="001E43B3">
              <w:t>interaction losses</w:t>
            </w:r>
          </w:p>
          <w:p w:rsidR="00000000" w:rsidRPr="001E43B3" w:rsidP="001E43B3">
            <w:pPr>
              <w:pStyle w:val="ListBullet2"/>
            </w:pPr>
            <w:r w:rsidRPr="001E43B3">
              <w:t>losses of the external world, such as material or personal losses</w:t>
            </w:r>
          </w:p>
          <w:p w:rsidR="00000000" w:rsidP="001E43B3">
            <w:pPr>
              <w:pStyle w:val="ListBullet"/>
              <w:rPr>
                <w:lang w:val="en-NZ"/>
              </w:rPr>
            </w:pPr>
            <w:r w:rsidRPr="001E43B3">
              <w:t>Cumulative losses</w:t>
            </w: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r w:rsidRPr="001E43B3">
              <w:rPr>
                <w:rStyle w:val="Emphasis"/>
              </w:rPr>
              <w:t>Features of grief may include</w:t>
            </w:r>
            <w:r w:rsidRPr="001E43B3">
              <w:t>:</w:t>
            </w:r>
          </w:p>
        </w:tc>
        <w:tc>
          <w:tcPr>
            <w:tcW w:w="5670" w:type="dxa"/>
            <w:tcBorders>
              <w:top w:val="nil"/>
              <w:left w:val="nil"/>
              <w:bottom w:val="nil"/>
              <w:right w:val="nil"/>
            </w:tcBorders>
            <w:tcMar>
              <w:top w:w="0" w:type="dxa"/>
              <w:left w:w="62" w:type="dxa"/>
              <w:bottom w:w="0" w:type="dxa"/>
              <w:right w:w="62" w:type="dxa"/>
            </w:tcMar>
          </w:tcPr>
          <w:p w:rsidR="00000000" w:rsidRPr="001E43B3" w:rsidP="001E43B3">
            <w:pPr>
              <w:pStyle w:val="ListBullet"/>
            </w:pPr>
            <w:r w:rsidRPr="001E43B3">
              <w:t>Sadness</w:t>
            </w:r>
          </w:p>
          <w:p w:rsidR="00000000" w:rsidRPr="001E43B3" w:rsidP="001E43B3">
            <w:pPr>
              <w:pStyle w:val="ListBullet"/>
            </w:pPr>
            <w:r w:rsidRPr="001E43B3">
              <w:t>Longing</w:t>
            </w:r>
          </w:p>
          <w:p w:rsidR="00000000" w:rsidRPr="001E43B3" w:rsidP="001E43B3">
            <w:pPr>
              <w:pStyle w:val="ListBullet"/>
            </w:pPr>
            <w:r w:rsidRPr="001E43B3">
              <w:t>Somatic complaints</w:t>
            </w:r>
          </w:p>
          <w:p w:rsidR="00000000" w:rsidP="001E43B3">
            <w:pPr>
              <w:pStyle w:val="ListBullet"/>
              <w:rPr>
                <w:lang w:val="en-NZ"/>
              </w:rPr>
            </w:pPr>
            <w:r w:rsidRPr="001E43B3">
              <w:t>Integration</w:t>
            </w: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r w:rsidRPr="001E43B3">
              <w:rPr>
                <w:rStyle w:val="Emphasis"/>
              </w:rPr>
              <w:t>Expressions of grief may include</w:t>
            </w:r>
            <w:r w:rsidRPr="001E43B3">
              <w:t>:</w:t>
            </w:r>
          </w:p>
        </w:tc>
        <w:tc>
          <w:tcPr>
            <w:tcW w:w="5670" w:type="dxa"/>
            <w:tcBorders>
              <w:top w:val="nil"/>
              <w:left w:val="nil"/>
              <w:bottom w:val="nil"/>
              <w:right w:val="nil"/>
            </w:tcBorders>
            <w:tcMar>
              <w:top w:w="0" w:type="dxa"/>
              <w:left w:w="62" w:type="dxa"/>
              <w:bottom w:w="0" w:type="dxa"/>
              <w:right w:w="62" w:type="dxa"/>
            </w:tcMar>
          </w:tcPr>
          <w:p w:rsidR="00000000" w:rsidRPr="001E43B3" w:rsidP="001E43B3">
            <w:pPr>
              <w:pStyle w:val="ListBullet"/>
            </w:pPr>
            <w:r w:rsidRPr="001E43B3">
              <w:t xml:space="preserve">Anger </w:t>
            </w:r>
          </w:p>
          <w:p w:rsidR="00000000" w:rsidRPr="001E43B3" w:rsidP="001E43B3">
            <w:pPr>
              <w:pStyle w:val="ListBullet"/>
            </w:pPr>
            <w:r w:rsidRPr="001E43B3">
              <w:t xml:space="preserve">Anxiety </w:t>
            </w:r>
          </w:p>
          <w:p w:rsidR="00000000" w:rsidRPr="001E43B3" w:rsidP="001E43B3">
            <w:pPr>
              <w:pStyle w:val="ListBullet"/>
            </w:pPr>
            <w:r w:rsidRPr="001E43B3">
              <w:t xml:space="preserve">Change in worldview </w:t>
            </w:r>
          </w:p>
          <w:p w:rsidR="00000000" w:rsidRPr="001E43B3" w:rsidP="001E43B3">
            <w:pPr>
              <w:pStyle w:val="ListBullet"/>
            </w:pPr>
            <w:r w:rsidRPr="001E43B3">
              <w:t>Chronic sorrow</w:t>
            </w:r>
          </w:p>
          <w:p w:rsidR="00000000" w:rsidRPr="001E43B3" w:rsidP="001E43B3">
            <w:pPr>
              <w:pStyle w:val="ListBullet"/>
            </w:pPr>
            <w:r w:rsidRPr="001E43B3">
              <w:t xml:space="preserve">Confusion </w:t>
            </w:r>
          </w:p>
          <w:p w:rsidR="00000000" w:rsidRPr="001E43B3" w:rsidP="001E43B3">
            <w:pPr>
              <w:pStyle w:val="ListBullet"/>
            </w:pPr>
            <w:r w:rsidRPr="001E43B3">
              <w:t xml:space="preserve">Depression </w:t>
            </w:r>
          </w:p>
          <w:p w:rsidR="00000000" w:rsidRPr="001E43B3" w:rsidP="001E43B3">
            <w:pPr>
              <w:pStyle w:val="ListBullet"/>
            </w:pPr>
            <w:r w:rsidRPr="001E43B3">
              <w:t xml:space="preserve">Despair </w:t>
            </w:r>
          </w:p>
          <w:p w:rsidR="00000000" w:rsidRPr="001E43B3" w:rsidP="001E43B3">
            <w:pPr>
              <w:pStyle w:val="ListBullet"/>
            </w:pPr>
            <w:r w:rsidRPr="001E43B3">
              <w:t xml:space="preserve">Drop in self-esteem </w:t>
            </w:r>
          </w:p>
          <w:p w:rsidR="00000000" w:rsidRPr="001E43B3" w:rsidP="001E43B3">
            <w:pPr>
              <w:pStyle w:val="ListBullet"/>
            </w:pPr>
            <w:r w:rsidRPr="001E43B3">
              <w:t xml:space="preserve">Fear of going mad </w:t>
            </w:r>
          </w:p>
          <w:p w:rsidR="00000000" w:rsidRPr="001E43B3" w:rsidP="001E43B3">
            <w:pPr>
              <w:pStyle w:val="ListBullet"/>
            </w:pPr>
            <w:r w:rsidRPr="001E43B3">
              <w:t xml:space="preserve">Feeling unable to cope </w:t>
            </w:r>
          </w:p>
          <w:p w:rsidR="00000000" w:rsidRPr="001E43B3" w:rsidP="001E43B3">
            <w:pPr>
              <w:pStyle w:val="ListBullet"/>
            </w:pPr>
            <w:r w:rsidRPr="001E43B3">
              <w:t xml:space="preserve">Guilt and remorse </w:t>
            </w:r>
          </w:p>
          <w:p w:rsidR="00000000" w:rsidRPr="001E43B3" w:rsidP="001E43B3">
            <w:pPr>
              <w:pStyle w:val="ListBullet"/>
            </w:pPr>
            <w:r w:rsidRPr="001E43B3">
              <w:t xml:space="preserve">Helplessness </w:t>
            </w:r>
          </w:p>
          <w:p w:rsidR="00000000" w:rsidRPr="001E43B3" w:rsidP="001E43B3">
            <w:pPr>
              <w:pStyle w:val="ListBullet"/>
            </w:pPr>
            <w:r w:rsidRPr="001E43B3">
              <w:t xml:space="preserve">Hopelessness </w:t>
            </w:r>
          </w:p>
          <w:p w:rsidR="00000000" w:rsidRPr="001E43B3" w:rsidP="001E43B3">
            <w:pPr>
              <w:pStyle w:val="ListBullet"/>
            </w:pPr>
            <w:r w:rsidRPr="001E43B3">
              <w:t xml:space="preserve">Loneliness </w:t>
            </w:r>
          </w:p>
          <w:p w:rsidR="00000000" w:rsidRPr="001E43B3" w:rsidP="001E43B3">
            <w:pPr>
              <w:pStyle w:val="ListBullet"/>
            </w:pPr>
            <w:r w:rsidRPr="001E43B3">
              <w:t xml:space="preserve">Questioning of values and beliefs </w:t>
            </w:r>
          </w:p>
          <w:p w:rsidR="00000000" w:rsidRPr="001E43B3" w:rsidP="001E43B3">
            <w:pPr>
              <w:pStyle w:val="ListBullet"/>
            </w:pPr>
            <w:r w:rsidRPr="001E43B3">
              <w:t xml:space="preserve">Relief </w:t>
            </w:r>
          </w:p>
          <w:p w:rsidR="00000000" w:rsidRPr="001E43B3" w:rsidP="001E43B3">
            <w:pPr>
              <w:pStyle w:val="ListBullet"/>
            </w:pPr>
            <w:r w:rsidRPr="001E43B3">
              <w:t>Shock and disbelief</w:t>
            </w:r>
          </w:p>
          <w:p w:rsidR="00000000" w:rsidP="001E43B3">
            <w:pPr>
              <w:pStyle w:val="ListBullet"/>
              <w:rPr>
                <w:lang w:val="en-NZ"/>
              </w:rPr>
            </w:pPr>
            <w:r w:rsidRPr="001E43B3">
              <w:t>Suicidal ideation</w:t>
            </w: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r w:rsidRPr="001E43B3">
              <w:rPr>
                <w:rStyle w:val="Emphasis"/>
              </w:rPr>
              <w:t>Social</w:t>
            </w:r>
            <w:r w:rsidRPr="001E43B3">
              <w:t xml:space="preserve">, </w:t>
            </w:r>
            <w:r w:rsidRPr="001E43B3">
              <w:rPr>
                <w:rStyle w:val="Emphasis"/>
              </w:rPr>
              <w:t>cultural</w:t>
            </w:r>
            <w:r w:rsidRPr="001E43B3">
              <w:t xml:space="preserve">, </w:t>
            </w:r>
            <w:r w:rsidRPr="001E43B3">
              <w:rPr>
                <w:rStyle w:val="Emphasis"/>
              </w:rPr>
              <w:t>ethnic and spiritual differences in loss</w:t>
            </w:r>
            <w:r w:rsidRPr="001E43B3">
              <w:t xml:space="preserve">, </w:t>
            </w:r>
            <w:r w:rsidRPr="001E43B3">
              <w:rPr>
                <w:rStyle w:val="Emphasis"/>
              </w:rPr>
              <w:t>grief and bereavement may include</w:t>
            </w:r>
            <w:r w:rsidRPr="001E43B3">
              <w:t>:</w:t>
            </w:r>
          </w:p>
        </w:tc>
        <w:tc>
          <w:tcPr>
            <w:tcW w:w="5670" w:type="dxa"/>
            <w:tcBorders>
              <w:top w:val="nil"/>
              <w:left w:val="nil"/>
              <w:bottom w:val="nil"/>
              <w:right w:val="nil"/>
            </w:tcBorders>
            <w:tcMar>
              <w:top w:w="0" w:type="dxa"/>
              <w:left w:w="62" w:type="dxa"/>
              <w:bottom w:w="0" w:type="dxa"/>
              <w:right w:w="62" w:type="dxa"/>
            </w:tcMar>
          </w:tcPr>
          <w:p w:rsidR="00000000" w:rsidRPr="001E43B3" w:rsidP="001E43B3">
            <w:pPr>
              <w:pStyle w:val="ListBullet"/>
            </w:pPr>
            <w:r w:rsidRPr="001E43B3">
              <w:t>Reactions to loss</w:t>
            </w:r>
          </w:p>
          <w:p w:rsidR="00000000" w:rsidRPr="001E43B3" w:rsidP="001E43B3">
            <w:pPr>
              <w:pStyle w:val="ListBullet"/>
            </w:pPr>
            <w:r w:rsidRPr="001E43B3">
              <w:t>Individual expressions of grief and bereavement</w:t>
            </w:r>
          </w:p>
          <w:p w:rsidR="00000000" w:rsidRPr="001E43B3" w:rsidP="001E43B3">
            <w:pPr>
              <w:pStyle w:val="ListBullet"/>
            </w:pPr>
            <w:r w:rsidRPr="001E43B3">
              <w:t>Cultural expressions of grief and bereavement</w:t>
            </w:r>
          </w:p>
          <w:p w:rsidR="00000000" w:rsidRPr="001E43B3" w:rsidP="001E43B3">
            <w:pPr>
              <w:pStyle w:val="ListBullet"/>
            </w:pPr>
            <w:r w:rsidRPr="001E43B3">
              <w:t>Spiritual and religious beliefs relating to loss, grief and bereavement</w:t>
            </w:r>
          </w:p>
          <w:p w:rsidR="00000000" w:rsidP="001E43B3">
            <w:pPr>
              <w:pStyle w:val="ListBullet"/>
              <w:rPr>
                <w:lang w:val="en-NZ"/>
              </w:rPr>
            </w:pPr>
            <w:r w:rsidRPr="001E43B3">
              <w:t>Coping strategies</w:t>
            </w: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r w:rsidRPr="001E43B3">
              <w:rPr>
                <w:rStyle w:val="Emphasis"/>
              </w:rPr>
              <w:t>The context and circumstances prior to loss may include</w:t>
            </w:r>
            <w:r w:rsidRPr="001E43B3">
              <w:t>:</w:t>
            </w:r>
          </w:p>
        </w:tc>
        <w:tc>
          <w:tcPr>
            <w:tcW w:w="5670" w:type="dxa"/>
            <w:tcBorders>
              <w:top w:val="nil"/>
              <w:left w:val="nil"/>
              <w:bottom w:val="nil"/>
              <w:right w:val="nil"/>
            </w:tcBorders>
            <w:tcMar>
              <w:top w:w="0" w:type="dxa"/>
              <w:left w:w="62" w:type="dxa"/>
              <w:bottom w:w="0" w:type="dxa"/>
              <w:right w:w="62" w:type="dxa"/>
            </w:tcMar>
          </w:tcPr>
          <w:p w:rsidR="00000000" w:rsidRPr="001E43B3" w:rsidP="001E43B3">
            <w:pPr>
              <w:pStyle w:val="ListBullet"/>
            </w:pPr>
            <w:r w:rsidRPr="001E43B3">
              <w:t>Socioecono</w:t>
            </w:r>
            <w:r w:rsidRPr="001E43B3">
              <w:t>mic circumstances</w:t>
            </w:r>
          </w:p>
          <w:p w:rsidR="00000000" w:rsidRPr="001E43B3" w:rsidP="001E43B3">
            <w:pPr>
              <w:pStyle w:val="ListBullet"/>
            </w:pPr>
            <w:r w:rsidRPr="001E43B3">
              <w:t>Presence of mental illness in the deceased</w:t>
            </w:r>
          </w:p>
          <w:p w:rsidR="00000000" w:rsidRPr="001E43B3" w:rsidP="001E43B3">
            <w:pPr>
              <w:pStyle w:val="ListBullet"/>
            </w:pPr>
            <w:r w:rsidRPr="001E43B3">
              <w:t>Age of deceased</w:t>
            </w:r>
          </w:p>
          <w:p w:rsidR="00000000" w:rsidP="001E43B3">
            <w:pPr>
              <w:pStyle w:val="ListBullet"/>
              <w:rPr>
                <w:lang w:val="en-NZ"/>
              </w:rPr>
            </w:pPr>
            <w:r w:rsidRPr="001E43B3">
              <w:t>Family relationships</w:t>
            </w: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r w:rsidRPr="001E43B3">
              <w:rPr>
                <w:rStyle w:val="Emphasis"/>
              </w:rPr>
              <w:t>Integration of loss may include</w:t>
            </w:r>
            <w:r w:rsidRPr="001E43B3">
              <w:t>:</w:t>
            </w:r>
          </w:p>
        </w:tc>
        <w:tc>
          <w:tcPr>
            <w:tcW w:w="5670" w:type="dxa"/>
            <w:tcBorders>
              <w:top w:val="nil"/>
              <w:left w:val="nil"/>
              <w:bottom w:val="nil"/>
              <w:right w:val="nil"/>
            </w:tcBorders>
            <w:tcMar>
              <w:top w:w="0" w:type="dxa"/>
              <w:left w:w="62" w:type="dxa"/>
              <w:bottom w:w="0" w:type="dxa"/>
              <w:right w:w="62" w:type="dxa"/>
            </w:tcMar>
          </w:tcPr>
          <w:p w:rsidR="00000000" w:rsidRPr="001E43B3" w:rsidP="001E43B3">
            <w:pPr>
              <w:pStyle w:val="ListBullet"/>
            </w:pPr>
            <w:r w:rsidRPr="001E43B3">
              <w:t>Dual process</w:t>
            </w:r>
          </w:p>
          <w:p w:rsidR="00000000" w:rsidRPr="001E43B3" w:rsidP="001E43B3">
            <w:pPr>
              <w:pStyle w:val="ListBullet"/>
            </w:pPr>
            <w:r w:rsidRPr="001E43B3">
              <w:t>Meaning reconstruction</w:t>
            </w:r>
          </w:p>
          <w:p w:rsidR="00000000" w:rsidRPr="001E43B3" w:rsidP="001E43B3">
            <w:pPr>
              <w:pStyle w:val="ListBullet"/>
            </w:pPr>
            <w:r w:rsidRPr="001E43B3">
              <w:t>Continuing bonds</w:t>
            </w:r>
          </w:p>
          <w:p w:rsidR="00000000" w:rsidRPr="001E43B3" w:rsidP="001E43B3">
            <w:pPr>
              <w:pStyle w:val="ListBullet"/>
            </w:pPr>
            <w:r w:rsidRPr="001E43B3">
              <w:t>Disenfranchised grief</w:t>
            </w:r>
          </w:p>
          <w:p w:rsidR="00000000" w:rsidP="001E43B3">
            <w:pPr>
              <w:pStyle w:val="ListBullet"/>
              <w:rPr>
                <w:lang w:val="en-NZ"/>
              </w:rPr>
            </w:pPr>
            <w:r w:rsidRPr="001E43B3">
              <w:t>Grieving styles</w:t>
            </w: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r w:rsidRPr="001E43B3">
              <w:rPr>
                <w:rStyle w:val="Emphasis"/>
              </w:rPr>
              <w:t>Interact with individuals with empathy</w:t>
            </w:r>
            <w:r w:rsidRPr="001E43B3">
              <w:t xml:space="preserve">, </w:t>
            </w:r>
            <w:r w:rsidRPr="001E43B3">
              <w:rPr>
                <w:rStyle w:val="Emphasis"/>
              </w:rPr>
              <w:t>sensitivity</w:t>
            </w:r>
            <w:r w:rsidRPr="001E43B3">
              <w:t xml:space="preserve">, </w:t>
            </w:r>
            <w:r w:rsidRPr="001E43B3">
              <w:rPr>
                <w:rStyle w:val="Emphasis"/>
              </w:rPr>
              <w:t>professionalism and courtesy may include</w:t>
            </w:r>
            <w:r w:rsidRPr="001E43B3">
              <w:t>:</w:t>
            </w:r>
          </w:p>
        </w:tc>
        <w:tc>
          <w:tcPr>
            <w:tcW w:w="5670" w:type="dxa"/>
            <w:tcBorders>
              <w:top w:val="nil"/>
              <w:left w:val="nil"/>
              <w:bottom w:val="nil"/>
              <w:right w:val="nil"/>
            </w:tcBorders>
            <w:tcMar>
              <w:top w:w="0" w:type="dxa"/>
              <w:left w:w="62" w:type="dxa"/>
              <w:bottom w:w="0" w:type="dxa"/>
              <w:right w:w="62" w:type="dxa"/>
            </w:tcMar>
          </w:tcPr>
          <w:p w:rsidR="00000000" w:rsidRPr="001E43B3" w:rsidP="001E43B3">
            <w:pPr>
              <w:pStyle w:val="ListBullet"/>
            </w:pPr>
            <w:r w:rsidRPr="001E43B3">
              <w:t>Empathic listening</w:t>
            </w:r>
          </w:p>
          <w:p w:rsidR="00000000" w:rsidRPr="001E43B3" w:rsidP="001E43B3">
            <w:pPr>
              <w:pStyle w:val="ListBullet"/>
            </w:pPr>
            <w:r w:rsidRPr="001E43B3">
              <w:t>Identifying and affirming the grieving person's strengths and opportunities</w:t>
            </w:r>
          </w:p>
          <w:p w:rsidR="00000000" w:rsidRPr="001E43B3" w:rsidP="001E43B3">
            <w:pPr>
              <w:pStyle w:val="ListBullet"/>
            </w:pPr>
            <w:r w:rsidRPr="001E43B3">
              <w:t>Helping manage overwhelming feelings to facilitate coping</w:t>
            </w:r>
          </w:p>
          <w:p w:rsidR="00000000" w:rsidRPr="001E43B3" w:rsidP="001E43B3">
            <w:pPr>
              <w:pStyle w:val="ListBullet"/>
            </w:pPr>
            <w:r w:rsidRPr="001E43B3">
              <w:t>Using q</w:t>
            </w:r>
            <w:r w:rsidRPr="001E43B3">
              <w:t>uestions and concreteness to focus on identifying immediate needs and concerns</w:t>
            </w:r>
          </w:p>
          <w:p w:rsidR="00000000" w:rsidRPr="001E43B3" w:rsidP="001E43B3">
            <w:pPr>
              <w:pStyle w:val="ListBullet"/>
            </w:pPr>
            <w:r w:rsidRPr="001E43B3">
              <w:t>Facilitating informed choices by the grieving person</w:t>
            </w:r>
          </w:p>
          <w:p w:rsidR="00000000" w:rsidRPr="001E43B3" w:rsidP="001E43B3">
            <w:pPr>
              <w:pStyle w:val="ListBullet"/>
            </w:pPr>
            <w:r w:rsidRPr="001E43B3">
              <w:t>Unconditional positive regard for the grieving person</w:t>
            </w:r>
          </w:p>
          <w:p w:rsidR="00000000" w:rsidRPr="001E43B3" w:rsidP="001E43B3">
            <w:pPr>
              <w:pStyle w:val="ListBullet"/>
            </w:pPr>
            <w:r w:rsidRPr="001E43B3">
              <w:t>Non-judgemental approach</w:t>
            </w:r>
          </w:p>
          <w:p w:rsidR="00000000" w:rsidP="001E43B3">
            <w:pPr>
              <w:pStyle w:val="ListBullet"/>
              <w:rPr>
                <w:lang w:val="en-NZ"/>
              </w:rPr>
            </w:pPr>
            <w:r w:rsidRPr="001E43B3">
              <w:t>Genuineness of response</w:t>
            </w: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r w:rsidRPr="001E43B3">
              <w:rPr>
                <w:rStyle w:val="Emphasis"/>
              </w:rPr>
              <w:t>Appropriate verbal and non</w:t>
            </w:r>
            <w:r w:rsidRPr="001E43B3">
              <w:t>-</w:t>
            </w:r>
            <w:r w:rsidRPr="001E43B3">
              <w:rPr>
                <w:rStyle w:val="Emphasis"/>
              </w:rPr>
              <w:t>verbal approaches may include</w:t>
            </w:r>
            <w:r w:rsidRPr="001E43B3">
              <w:t>:</w:t>
            </w:r>
          </w:p>
        </w:tc>
        <w:tc>
          <w:tcPr>
            <w:tcW w:w="5670" w:type="dxa"/>
            <w:tcBorders>
              <w:top w:val="nil"/>
              <w:left w:val="nil"/>
              <w:bottom w:val="nil"/>
              <w:right w:val="nil"/>
            </w:tcBorders>
            <w:tcMar>
              <w:top w:w="0" w:type="dxa"/>
              <w:left w:w="62" w:type="dxa"/>
              <w:bottom w:w="0" w:type="dxa"/>
              <w:right w:w="62" w:type="dxa"/>
            </w:tcMar>
          </w:tcPr>
          <w:p w:rsidR="00000000" w:rsidRPr="001E43B3" w:rsidP="001E43B3">
            <w:pPr>
              <w:pStyle w:val="ListBullet"/>
            </w:pPr>
            <w:r w:rsidRPr="001E43B3">
              <w:t>Verbal approaches that support empathy, sensitivity, professionalism and courtesy</w:t>
            </w:r>
          </w:p>
          <w:p w:rsidR="00000000" w:rsidP="001E43B3">
            <w:pPr>
              <w:pStyle w:val="ListBullet"/>
              <w:rPr>
                <w:lang w:val="en-NZ"/>
              </w:rPr>
            </w:pPr>
            <w:r w:rsidRPr="001E43B3">
              <w:t>Facial expressions, gestures, eye contact and personal space that support empathy, sensitivity, professionalism and</w:t>
            </w:r>
            <w:r w:rsidRPr="001E43B3">
              <w:t xml:space="preserve"> courtesy</w:t>
            </w: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r w:rsidRPr="001E43B3">
              <w:rPr>
                <w:rStyle w:val="Emphasis"/>
              </w:rPr>
              <w:t>Empathic listening skills may include</w:t>
            </w:r>
            <w:r w:rsidRPr="001E43B3">
              <w:t>:</w:t>
            </w:r>
          </w:p>
        </w:tc>
        <w:tc>
          <w:tcPr>
            <w:tcW w:w="5670" w:type="dxa"/>
            <w:tcBorders>
              <w:top w:val="nil"/>
              <w:left w:val="nil"/>
              <w:bottom w:val="nil"/>
              <w:right w:val="nil"/>
            </w:tcBorders>
            <w:tcMar>
              <w:top w:w="0" w:type="dxa"/>
              <w:left w:w="62" w:type="dxa"/>
              <w:bottom w:w="0" w:type="dxa"/>
              <w:right w:w="62" w:type="dxa"/>
            </w:tcMar>
          </w:tcPr>
          <w:p w:rsidR="00000000" w:rsidRPr="001E43B3" w:rsidP="001E43B3">
            <w:pPr>
              <w:pStyle w:val="ListBullet"/>
            </w:pPr>
            <w:r w:rsidRPr="001E43B3">
              <w:t xml:space="preserve">Appropriate brief encouragers which help the grieving person relate their story and concerns  </w:t>
            </w:r>
          </w:p>
          <w:p w:rsidR="00000000" w:rsidRPr="001E43B3" w:rsidP="001E43B3">
            <w:pPr>
              <w:pStyle w:val="ListBullet"/>
            </w:pPr>
            <w:r w:rsidRPr="001E43B3">
              <w:t xml:space="preserve">Reflection of feelings /thoughts, behaviours and experience (content) </w:t>
            </w:r>
          </w:p>
          <w:p w:rsidR="00000000" w:rsidRPr="001E43B3" w:rsidP="001E43B3">
            <w:pPr>
              <w:pStyle w:val="ListBullet"/>
            </w:pPr>
            <w:r w:rsidRPr="001E43B3">
              <w:t>Hearing the grieving person's concerns</w:t>
            </w:r>
          </w:p>
          <w:p w:rsidR="00000000" w:rsidRPr="001E43B3" w:rsidP="001E43B3">
            <w:pPr>
              <w:pStyle w:val="ListBullet"/>
            </w:pPr>
            <w:r w:rsidRPr="001E43B3">
              <w:t>Paraphrasing (reflection of content)</w:t>
            </w:r>
          </w:p>
          <w:p w:rsidR="00000000" w:rsidRPr="001E43B3" w:rsidP="001E43B3">
            <w:pPr>
              <w:pStyle w:val="ListBullet"/>
            </w:pPr>
            <w:r w:rsidRPr="001E43B3">
              <w:t>Using open and closed questions to expand or clarify understanding</w:t>
            </w:r>
          </w:p>
          <w:p w:rsidR="00000000" w:rsidRPr="001E43B3" w:rsidP="001E43B3">
            <w:pPr>
              <w:pStyle w:val="ListBullet"/>
            </w:pPr>
            <w:r w:rsidRPr="001E43B3">
              <w:t>Understanding the grieving person's context</w:t>
            </w:r>
          </w:p>
          <w:p w:rsidR="00000000" w:rsidRPr="001E43B3" w:rsidP="001E43B3">
            <w:pPr>
              <w:pStyle w:val="ListBullet"/>
            </w:pPr>
            <w:r w:rsidRPr="001E43B3">
              <w:t>Recognising when higher levels of care may be indicated</w:t>
            </w:r>
          </w:p>
          <w:p w:rsidR="00000000" w:rsidRPr="001E43B3" w:rsidP="001E43B3">
            <w:pPr>
              <w:pStyle w:val="ListBullet"/>
            </w:pPr>
            <w:r w:rsidRPr="001E43B3">
              <w:t>Balancing the frequency of questions</w:t>
            </w:r>
          </w:p>
          <w:p w:rsidR="00000000" w:rsidRPr="001E43B3" w:rsidP="001E43B3">
            <w:pPr>
              <w:pStyle w:val="ListBullet"/>
            </w:pPr>
            <w:r w:rsidRPr="001E43B3">
              <w:t>Summarising and</w:t>
            </w:r>
            <w:r w:rsidRPr="001E43B3">
              <w:t xml:space="preserve"> closure</w:t>
            </w:r>
          </w:p>
          <w:p w:rsidR="00000000" w:rsidP="001E43B3">
            <w:pPr>
              <w:pStyle w:val="ListBullet"/>
              <w:rPr>
                <w:lang w:val="en-NZ"/>
              </w:rPr>
            </w:pPr>
            <w:r w:rsidRPr="001E43B3">
              <w:t>Application of listening skills within culturally-appropriate boundaries</w:t>
            </w: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r w:rsidRPr="001E43B3">
              <w:rPr>
                <w:rStyle w:val="Emphasis"/>
              </w:rPr>
              <w:t>Difficulty in coping with grief and trauma may include</w:t>
            </w:r>
            <w:r w:rsidRPr="001E43B3">
              <w:t>:</w:t>
            </w:r>
          </w:p>
        </w:tc>
        <w:tc>
          <w:tcPr>
            <w:tcW w:w="5670" w:type="dxa"/>
            <w:tcBorders>
              <w:top w:val="nil"/>
              <w:left w:val="nil"/>
              <w:bottom w:val="nil"/>
              <w:right w:val="nil"/>
            </w:tcBorders>
            <w:tcMar>
              <w:top w:w="0" w:type="dxa"/>
              <w:left w:w="62" w:type="dxa"/>
              <w:bottom w:w="0" w:type="dxa"/>
              <w:right w:w="62" w:type="dxa"/>
            </w:tcMar>
          </w:tcPr>
          <w:p w:rsidR="00000000" w:rsidRPr="001E43B3" w:rsidP="001E43B3">
            <w:pPr>
              <w:pStyle w:val="ListBullet"/>
            </w:pPr>
            <w:r w:rsidRPr="001E43B3">
              <w:t>Symptoms of separation distress</w:t>
            </w:r>
          </w:p>
          <w:p w:rsidR="00000000" w:rsidRPr="001E43B3" w:rsidP="001E43B3">
            <w:pPr>
              <w:pStyle w:val="ListBullet"/>
            </w:pPr>
            <w:r w:rsidRPr="001E43B3">
              <w:t>Symptoms of traumatic distress/stress</w:t>
            </w:r>
          </w:p>
          <w:p w:rsidR="00000000" w:rsidRPr="001E43B3" w:rsidP="001E43B3">
            <w:pPr>
              <w:pStyle w:val="ListBullet"/>
            </w:pPr>
            <w:r w:rsidRPr="001E43B3">
              <w:t>Complex grieving</w:t>
            </w:r>
          </w:p>
          <w:p w:rsidR="00000000" w:rsidP="001E43B3">
            <w:pPr>
              <w:pStyle w:val="ListBullet"/>
              <w:rPr>
                <w:lang w:val="en-NZ"/>
              </w:rPr>
            </w:pPr>
            <w:r w:rsidRPr="001E43B3">
              <w:t>Suicidal ideation</w:t>
            </w: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r w:rsidRPr="001E43B3">
              <w:rPr>
                <w:rStyle w:val="Emphasis"/>
              </w:rPr>
              <w:t>Grief and bereavement support strategies and grief and bereavement care services may include</w:t>
            </w:r>
            <w:r w:rsidRPr="001E43B3">
              <w:t>:</w:t>
            </w:r>
          </w:p>
        </w:tc>
        <w:tc>
          <w:tcPr>
            <w:tcW w:w="5670" w:type="dxa"/>
            <w:tcBorders>
              <w:top w:val="nil"/>
              <w:left w:val="nil"/>
              <w:bottom w:val="nil"/>
              <w:right w:val="nil"/>
            </w:tcBorders>
            <w:tcMar>
              <w:top w:w="0" w:type="dxa"/>
              <w:left w:w="62" w:type="dxa"/>
              <w:bottom w:w="0" w:type="dxa"/>
              <w:right w:w="62" w:type="dxa"/>
            </w:tcMar>
          </w:tcPr>
          <w:p w:rsidR="00000000" w:rsidRPr="001E43B3" w:rsidP="001E43B3">
            <w:pPr>
              <w:pStyle w:val="ListBullet"/>
            </w:pPr>
            <w:r w:rsidRPr="001E43B3">
              <w:t>Aboriginal health services</w:t>
            </w:r>
          </w:p>
          <w:p w:rsidR="00000000" w:rsidRPr="001E43B3" w:rsidP="001E43B3">
            <w:pPr>
              <w:pStyle w:val="ListBullet"/>
            </w:pPr>
            <w:r w:rsidRPr="001E43B3">
              <w:t>Coronial services</w:t>
            </w:r>
          </w:p>
          <w:p w:rsidR="00000000" w:rsidRPr="001E43B3" w:rsidP="001E43B3">
            <w:pPr>
              <w:pStyle w:val="ListBullet"/>
            </w:pPr>
            <w:r w:rsidRPr="001E43B3">
              <w:t>Emergency services</w:t>
            </w:r>
          </w:p>
          <w:p w:rsidR="00000000" w:rsidRPr="001E43B3" w:rsidP="001E43B3">
            <w:pPr>
              <w:pStyle w:val="ListBullet"/>
            </w:pPr>
            <w:r w:rsidRPr="001E43B3">
              <w:t>Empathic listening</w:t>
            </w:r>
          </w:p>
          <w:p w:rsidR="00000000" w:rsidRPr="001E43B3" w:rsidP="001E43B3">
            <w:pPr>
              <w:pStyle w:val="ListBullet"/>
            </w:pPr>
            <w:r w:rsidRPr="001E43B3">
              <w:t>General practitioners</w:t>
            </w:r>
          </w:p>
          <w:p w:rsidR="00000000" w:rsidRPr="001E43B3" w:rsidP="001E43B3">
            <w:pPr>
              <w:pStyle w:val="ListBullet"/>
            </w:pPr>
            <w:r w:rsidRPr="001E43B3">
              <w:t>Group grief counselling</w:t>
            </w:r>
          </w:p>
          <w:p w:rsidR="00000000" w:rsidRPr="001E43B3" w:rsidP="001E43B3">
            <w:pPr>
              <w:pStyle w:val="ListBullet"/>
            </w:pPr>
            <w:r w:rsidRPr="001E43B3">
              <w:t>Health services</w:t>
            </w:r>
          </w:p>
          <w:p w:rsidR="00000000" w:rsidRPr="001E43B3" w:rsidP="001E43B3">
            <w:pPr>
              <w:pStyle w:val="ListBullet"/>
            </w:pPr>
            <w:r w:rsidRPr="001E43B3">
              <w:t>Individual grief counselling</w:t>
            </w:r>
          </w:p>
          <w:p w:rsidR="00000000" w:rsidRPr="001E43B3" w:rsidP="001E43B3">
            <w:pPr>
              <w:pStyle w:val="ListBullet"/>
            </w:pPr>
            <w:r w:rsidRPr="001E43B3">
              <w:t>Palliative care services and teams</w:t>
            </w:r>
          </w:p>
          <w:p w:rsidR="00000000" w:rsidRPr="001E43B3" w:rsidP="001E43B3">
            <w:pPr>
              <w:pStyle w:val="ListBullet"/>
            </w:pPr>
            <w:r w:rsidRPr="001E43B3">
              <w:t>Practical support</w:t>
            </w:r>
          </w:p>
          <w:p w:rsidR="00000000" w:rsidRPr="001E43B3" w:rsidP="001E43B3">
            <w:pPr>
              <w:pStyle w:val="ListBullet"/>
            </w:pPr>
            <w:r w:rsidRPr="001E43B3">
              <w:t>Psychological services</w:t>
            </w:r>
          </w:p>
          <w:p w:rsidR="00000000" w:rsidRPr="001E43B3" w:rsidP="001E43B3">
            <w:pPr>
              <w:pStyle w:val="ListBullet"/>
            </w:pPr>
            <w:r w:rsidRPr="001E43B3">
              <w:t>Spiritual and faith care services</w:t>
            </w:r>
          </w:p>
          <w:p w:rsidR="00000000" w:rsidRPr="001E43B3" w:rsidP="001E43B3">
            <w:pPr>
              <w:pStyle w:val="ListBullet"/>
            </w:pPr>
            <w:r w:rsidRPr="001E43B3">
              <w:t>Support group</w:t>
            </w:r>
          </w:p>
          <w:p w:rsidR="00000000" w:rsidP="001E43B3">
            <w:pPr>
              <w:pStyle w:val="ListBullet"/>
              <w:rPr>
                <w:lang w:val="en-NZ"/>
              </w:rPr>
            </w:pPr>
            <w:r w:rsidRPr="001E43B3">
              <w:t>Telephone counselling services</w:t>
            </w: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r w:rsidRPr="001E43B3">
              <w:rPr>
                <w:rStyle w:val="Emphasis"/>
              </w:rPr>
              <w:t>Referral procedures may include</w:t>
            </w:r>
            <w:r w:rsidRPr="001E43B3">
              <w:t>:</w:t>
            </w:r>
          </w:p>
        </w:tc>
        <w:tc>
          <w:tcPr>
            <w:tcW w:w="5670" w:type="dxa"/>
            <w:tcBorders>
              <w:top w:val="nil"/>
              <w:left w:val="nil"/>
              <w:bottom w:val="nil"/>
              <w:right w:val="nil"/>
            </w:tcBorders>
            <w:tcMar>
              <w:top w:w="0" w:type="dxa"/>
              <w:left w:w="62" w:type="dxa"/>
              <w:bottom w:w="0" w:type="dxa"/>
              <w:right w:w="62" w:type="dxa"/>
            </w:tcMar>
          </w:tcPr>
          <w:p w:rsidR="00000000" w:rsidRPr="001E43B3" w:rsidP="001E43B3">
            <w:pPr>
              <w:pStyle w:val="ListBullet"/>
            </w:pPr>
            <w:r w:rsidRPr="001E43B3">
              <w:t>Referral information</w:t>
            </w:r>
          </w:p>
          <w:p w:rsidR="00000000" w:rsidRPr="001E43B3" w:rsidP="001E43B3">
            <w:pPr>
              <w:pStyle w:val="ListBullet"/>
            </w:pPr>
            <w:r w:rsidRPr="001E43B3">
              <w:t>Referral databases</w:t>
            </w:r>
          </w:p>
          <w:p w:rsidR="00000000" w:rsidP="001E43B3">
            <w:pPr>
              <w:pStyle w:val="ListBullet"/>
              <w:rPr>
                <w:lang w:val="en-NZ"/>
              </w:rPr>
            </w:pPr>
            <w:r w:rsidRPr="001E43B3">
              <w:t>Referral protocols</w:t>
            </w: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r w:rsidRPr="001E43B3">
              <w:rPr>
                <w:rStyle w:val="Emphasis"/>
              </w:rPr>
              <w:t>Grief and bereavement care information resources may include</w:t>
            </w:r>
            <w:r w:rsidRPr="001E43B3">
              <w:t>:</w:t>
            </w:r>
          </w:p>
        </w:tc>
        <w:tc>
          <w:tcPr>
            <w:tcW w:w="5670" w:type="dxa"/>
            <w:tcBorders>
              <w:top w:val="nil"/>
              <w:left w:val="nil"/>
              <w:bottom w:val="nil"/>
              <w:right w:val="nil"/>
            </w:tcBorders>
            <w:tcMar>
              <w:top w:w="0" w:type="dxa"/>
              <w:left w:w="62" w:type="dxa"/>
              <w:bottom w:w="0" w:type="dxa"/>
              <w:right w:w="62" w:type="dxa"/>
            </w:tcMar>
          </w:tcPr>
          <w:p w:rsidR="00000000" w:rsidRPr="001E43B3" w:rsidP="001E43B3">
            <w:pPr>
              <w:pStyle w:val="ListBullet"/>
            </w:pPr>
            <w:r w:rsidRPr="001E43B3">
              <w:t>Internet resources</w:t>
            </w:r>
          </w:p>
          <w:p w:rsidR="00000000" w:rsidRPr="001E43B3" w:rsidP="001E43B3">
            <w:pPr>
              <w:pStyle w:val="ListBullet"/>
            </w:pPr>
            <w:r w:rsidRPr="001E43B3">
              <w:t>Fact sheets</w:t>
            </w:r>
          </w:p>
          <w:p w:rsidR="00000000" w:rsidP="001E43B3">
            <w:pPr>
              <w:pStyle w:val="ListBullet"/>
              <w:rPr>
                <w:lang w:val="en-NZ"/>
              </w:rPr>
            </w:pPr>
            <w:r w:rsidRPr="001E43B3">
              <w:t>Information packs</w:t>
            </w: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r w:rsidRPr="001E43B3">
              <w:rPr>
                <w:rStyle w:val="Emphasis"/>
              </w:rPr>
              <w:t>Risks associated with grief and bereavement support may include</w:t>
            </w:r>
            <w:r w:rsidRPr="001E43B3">
              <w:t>:</w:t>
            </w:r>
          </w:p>
        </w:tc>
        <w:tc>
          <w:tcPr>
            <w:tcW w:w="5670" w:type="dxa"/>
            <w:tcBorders>
              <w:top w:val="nil"/>
              <w:left w:val="nil"/>
              <w:bottom w:val="nil"/>
              <w:right w:val="nil"/>
            </w:tcBorders>
            <w:tcMar>
              <w:top w:w="0" w:type="dxa"/>
              <w:left w:w="62" w:type="dxa"/>
              <w:bottom w:w="0" w:type="dxa"/>
              <w:right w:w="62" w:type="dxa"/>
            </w:tcMar>
          </w:tcPr>
          <w:p w:rsidR="00000000" w:rsidRPr="001E43B3" w:rsidP="001E43B3">
            <w:pPr>
              <w:pStyle w:val="ListBullet"/>
            </w:pPr>
            <w:r w:rsidRPr="001E43B3">
              <w:t>Compassion fatigue</w:t>
            </w:r>
          </w:p>
          <w:p w:rsidR="00000000" w:rsidRPr="001E43B3" w:rsidP="001E43B3">
            <w:pPr>
              <w:pStyle w:val="ListBullet"/>
            </w:pPr>
            <w:r w:rsidRPr="001E43B3">
              <w:t>Vicarious traumatisation</w:t>
            </w:r>
          </w:p>
          <w:p w:rsidR="00000000" w:rsidRPr="001E43B3" w:rsidP="001E43B3">
            <w:pPr>
              <w:pStyle w:val="ListBullet"/>
            </w:pPr>
            <w:r w:rsidRPr="001E43B3">
              <w:t>Burnout</w:t>
            </w:r>
          </w:p>
          <w:p w:rsidR="00000000" w:rsidRPr="001E43B3" w:rsidP="001E43B3">
            <w:pPr>
              <w:pStyle w:val="ListBullet"/>
            </w:pPr>
            <w:r w:rsidRPr="001E43B3">
              <w:t>Lack of adequate supervision</w:t>
            </w:r>
          </w:p>
          <w:p w:rsidR="00000000" w:rsidP="001E43B3">
            <w:pPr>
              <w:pStyle w:val="ListBullet"/>
              <w:rPr>
                <w:lang w:val="en-NZ"/>
              </w:rPr>
            </w:pPr>
            <w:r w:rsidRPr="001E43B3">
              <w:t>Lack of access to external expertise</w:t>
            </w: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r w:rsidRPr="001E43B3">
              <w:rPr>
                <w:rStyle w:val="Emphasis"/>
              </w:rPr>
              <w:t>Strategies to minimise risks associated with grief and bereavement support may include</w:t>
            </w:r>
            <w:r w:rsidRPr="001E43B3">
              <w:t>:</w:t>
            </w:r>
          </w:p>
        </w:tc>
        <w:tc>
          <w:tcPr>
            <w:tcW w:w="5670" w:type="dxa"/>
            <w:tcBorders>
              <w:top w:val="nil"/>
              <w:left w:val="nil"/>
              <w:bottom w:val="nil"/>
              <w:right w:val="nil"/>
            </w:tcBorders>
            <w:tcMar>
              <w:top w:w="0" w:type="dxa"/>
              <w:left w:w="62" w:type="dxa"/>
              <w:bottom w:w="0" w:type="dxa"/>
              <w:right w:w="62" w:type="dxa"/>
            </w:tcMar>
          </w:tcPr>
          <w:p w:rsidR="00000000" w:rsidRPr="001E43B3" w:rsidP="001E43B3">
            <w:pPr>
              <w:pStyle w:val="ListBullet"/>
            </w:pPr>
            <w:r w:rsidRPr="001E43B3">
              <w:t>Self care</w:t>
            </w:r>
          </w:p>
          <w:p w:rsidR="00000000" w:rsidRPr="001E43B3" w:rsidP="001E43B3">
            <w:pPr>
              <w:pStyle w:val="ListBullet"/>
            </w:pPr>
            <w:r w:rsidRPr="001E43B3">
              <w:t>Supervision</w:t>
            </w:r>
          </w:p>
          <w:p w:rsidR="00000000" w:rsidRPr="001E43B3" w:rsidP="001E43B3">
            <w:pPr>
              <w:pStyle w:val="ListBullet"/>
            </w:pPr>
            <w:r w:rsidRPr="001E43B3">
              <w:t>Debriefing</w:t>
            </w:r>
          </w:p>
          <w:p w:rsidR="00000000" w:rsidRPr="001E43B3" w:rsidP="001E43B3">
            <w:pPr>
              <w:pStyle w:val="ListBullet"/>
            </w:pPr>
            <w:r w:rsidRPr="001E43B3">
              <w:t>Back up support</w:t>
            </w:r>
          </w:p>
          <w:p w:rsidR="00000000" w:rsidP="001E43B3">
            <w:pPr>
              <w:pStyle w:val="ListBullet"/>
              <w:rPr>
                <w:lang w:val="en-NZ"/>
              </w:rPr>
            </w:pPr>
            <w:r w:rsidRPr="001E43B3">
              <w:t>External networks and expertise</w:t>
            </w: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43B3">
            <w:pPr>
              <w:pStyle w:val="BodyText"/>
              <w:rPr>
                <w:lang w:val="en-NZ"/>
              </w:rPr>
            </w:pPr>
            <w:r w:rsidRPr="001E43B3">
              <w:rPr>
                <w:rStyle w:val="Emphasis"/>
              </w:rPr>
              <w:t>The need to access to appropriate supervision and</w:t>
            </w:r>
            <w:r w:rsidRPr="001E43B3">
              <w:t>/</w:t>
            </w:r>
            <w:r w:rsidRPr="001E43B3">
              <w:rPr>
                <w:rStyle w:val="Emphasis"/>
              </w:rPr>
              <w:t>or debriefing may include</w:t>
            </w:r>
            <w:r w:rsidRPr="001E43B3">
              <w:t>:</w:t>
            </w:r>
          </w:p>
        </w:tc>
        <w:tc>
          <w:tcPr>
            <w:tcW w:w="5670" w:type="dxa"/>
            <w:tcBorders>
              <w:top w:val="nil"/>
              <w:left w:val="nil"/>
              <w:bottom w:val="nil"/>
              <w:right w:val="nil"/>
            </w:tcBorders>
            <w:tcMar>
              <w:top w:w="0" w:type="dxa"/>
              <w:left w:w="62" w:type="dxa"/>
              <w:bottom w:w="0" w:type="dxa"/>
              <w:right w:w="62" w:type="dxa"/>
            </w:tcMar>
          </w:tcPr>
          <w:p w:rsidR="00000000" w:rsidRPr="001E43B3" w:rsidP="001E43B3">
            <w:pPr>
              <w:pStyle w:val="ListBullet"/>
            </w:pPr>
            <w:r w:rsidRPr="001E43B3">
              <w:t>Duty of care to clients</w:t>
            </w:r>
          </w:p>
          <w:p w:rsidR="00000000" w:rsidP="001E43B3">
            <w:pPr>
              <w:pStyle w:val="ListBullet"/>
              <w:rPr>
                <w:lang w:val="en-NZ"/>
              </w:rPr>
            </w:pPr>
            <w:r w:rsidRPr="001E43B3">
              <w:t>Self care</w:t>
            </w:r>
          </w:p>
        </w:tc>
      </w:tr>
      <w:tr w:rsidTr="008137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E43B3" w:rsidP="001E43B3">
            <w:pPr>
              <w:pStyle w:val="BodyText"/>
            </w:pPr>
          </w:p>
        </w:tc>
      </w:tr>
    </w:tbl>
    <w:p w:rsidR="0081374C" w:rsidP="001E43B3">
      <w:pPr>
        <w:pStyle w:val="BodyText"/>
      </w:pPr>
    </w:p>
    <w:p w:rsidR="0081374C" w:rsidP="001E43B3">
      <w:pPr>
        <w:pStyle w:val="BodyText"/>
      </w:pPr>
    </w:p>
    <w:p w:rsidR="00000000" w:rsidRPr="001E43B3" w:rsidP="001E43B3">
      <w:pPr>
        <w:pStyle w:val="Heading1"/>
      </w:pPr>
      <w:bookmarkStart w:id="12" w:name="O_293950"/>
      <w:bookmarkEnd w:id="12"/>
      <w:r w:rsidRPr="001E43B3">
        <w:t>Unit Sector(s)</w:t>
      </w:r>
    </w:p>
    <w:p w:rsidR="00000000" w:rsidRPr="001E43B3" w:rsidP="001E43B3">
      <w:pPr>
        <w:pStyle w:val="BodyText"/>
      </w:pPr>
      <w:r w:rsidRPr="001E43B3">
        <w:t>Not Applicable</w:t>
      </w:r>
    </w:p>
    <w:p w:rsidR="00000000" w:rsidRPr="001E43B3" w:rsidP="001E43B3"/>
    <w:sectPr w:rsidSect="001E43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3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374C" w:rsidP="008137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3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74C" w:rsidP="001E43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1374C" w:rsidP="001E43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1374C" w:rsidP="001E43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3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374C" w:rsidP="008137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3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74C" w:rsidP="001E43B3">
    <w:pPr>
      <w:pStyle w:val="Header"/>
      <w:framePr w:wrap="around"/>
    </w:pPr>
    <w:r>
      <w:fldChar w:fldCharType="begin"/>
    </w:r>
    <w:r>
      <w:instrText xml:space="preserve"> TITLE   \* MERGEFORMAT </w:instrText>
    </w:r>
    <w:r>
      <w:fldChar w:fldCharType="separate"/>
    </w:r>
    <w:r>
      <w:t>CHCCS426A Provide support and care relating to loss and grief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374C" w:rsidP="001E43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D841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5628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04BE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3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43B3"/>
    <w:pPr>
      <w:spacing w:before="360" w:after="60"/>
      <w:outlineLvl w:val="0"/>
    </w:pPr>
    <w:rPr>
      <w:sz w:val="32"/>
    </w:rPr>
  </w:style>
  <w:style w:type="paragraph" w:styleId="Heading2">
    <w:name w:val="heading 2"/>
    <w:basedOn w:val="HeadingBase"/>
    <w:next w:val="BodyText"/>
    <w:link w:val="Heading2Char"/>
    <w:qFormat/>
    <w:rsid w:val="001E43B3"/>
    <w:pPr>
      <w:keepLines/>
      <w:spacing w:before="240" w:after="120"/>
      <w:outlineLvl w:val="1"/>
    </w:pPr>
    <w:rPr>
      <w:sz w:val="28"/>
      <w:szCs w:val="40"/>
    </w:rPr>
  </w:style>
  <w:style w:type="paragraph" w:styleId="Heading3">
    <w:name w:val="heading 3"/>
    <w:basedOn w:val="HeadingBase"/>
    <w:next w:val="BodyText"/>
    <w:link w:val="Heading3Char"/>
    <w:qFormat/>
    <w:rsid w:val="001E43B3"/>
    <w:pPr>
      <w:spacing w:before="180" w:after="120"/>
      <w:outlineLvl w:val="2"/>
    </w:pPr>
    <w:rPr>
      <w:spacing w:val="-10"/>
      <w:kern w:val="32"/>
    </w:rPr>
  </w:style>
  <w:style w:type="paragraph" w:styleId="Heading4">
    <w:name w:val="heading 4"/>
    <w:basedOn w:val="HeadingBase"/>
    <w:next w:val="BodyText"/>
    <w:link w:val="Heading4Char"/>
    <w:qFormat/>
    <w:rsid w:val="001E43B3"/>
    <w:pPr>
      <w:spacing w:before="160" w:after="120"/>
      <w:outlineLvl w:val="3"/>
    </w:pPr>
    <w:rPr>
      <w:sz w:val="22"/>
    </w:rPr>
  </w:style>
  <w:style w:type="paragraph" w:styleId="Heading5">
    <w:name w:val="heading 5"/>
    <w:basedOn w:val="HeadingBase"/>
    <w:next w:val="Normal"/>
    <w:link w:val="Heading5Char"/>
    <w:qFormat/>
    <w:rsid w:val="001E43B3"/>
    <w:pPr>
      <w:spacing w:before="80"/>
      <w:outlineLvl w:val="4"/>
    </w:pPr>
    <w:rPr>
      <w:color w:val="918585"/>
      <w:sz w:val="20"/>
    </w:rPr>
  </w:style>
  <w:style w:type="paragraph" w:styleId="Heading6">
    <w:name w:val="heading 6"/>
    <w:basedOn w:val="HeadingBase"/>
    <w:next w:val="Normal"/>
    <w:link w:val="Heading6Char"/>
    <w:qFormat/>
    <w:rsid w:val="001E43B3"/>
    <w:pPr>
      <w:spacing w:before="60"/>
      <w:outlineLvl w:val="5"/>
    </w:pPr>
    <w:rPr>
      <w:color w:val="918585"/>
      <w:sz w:val="20"/>
    </w:rPr>
  </w:style>
  <w:style w:type="paragraph" w:styleId="Heading7">
    <w:name w:val="heading 7"/>
    <w:basedOn w:val="Normal"/>
    <w:next w:val="Normal"/>
    <w:link w:val="Heading7Char"/>
    <w:qFormat/>
    <w:rsid w:val="001E43B3"/>
    <w:pPr>
      <w:ind w:left="720"/>
      <w:outlineLvl w:val="6"/>
    </w:pPr>
    <w:rPr>
      <w:i/>
    </w:rPr>
  </w:style>
  <w:style w:type="paragraph" w:styleId="Heading8">
    <w:name w:val="heading 8"/>
    <w:basedOn w:val="Normal"/>
    <w:next w:val="Normal"/>
    <w:link w:val="Heading8Char"/>
    <w:qFormat/>
    <w:rsid w:val="001E43B3"/>
    <w:pPr>
      <w:ind w:left="720"/>
      <w:outlineLvl w:val="7"/>
    </w:pPr>
    <w:rPr>
      <w:i/>
    </w:rPr>
  </w:style>
  <w:style w:type="paragraph" w:styleId="Heading9">
    <w:name w:val="heading 9"/>
    <w:basedOn w:val="Normal"/>
    <w:next w:val="Normal"/>
    <w:link w:val="Heading9Char"/>
    <w:qFormat/>
    <w:rsid w:val="001E43B3"/>
    <w:pPr>
      <w:ind w:left="720"/>
      <w:outlineLvl w:val="8"/>
    </w:pPr>
    <w:rPr>
      <w:i/>
    </w:rPr>
  </w:style>
  <w:style w:type="character" w:default="1" w:styleId="DefaultParagraphFont">
    <w:name w:val="Default Paragraph Font"/>
    <w:uiPriority w:val="1"/>
    <w:unhideWhenUsed/>
    <w:rsid w:val="001E43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43B3"/>
  </w:style>
  <w:style w:type="character" w:customStyle="1" w:styleId="Heading1Char">
    <w:name w:val="Heading 1 Char"/>
    <w:basedOn w:val="DefaultParagraphFont"/>
    <w:link w:val="Heading1"/>
    <w:rsid w:val="001E43B3"/>
    <w:rPr>
      <w:rFonts w:ascii="Times New Roman" w:eastAsia="Times New Roman" w:hAnsi="Times New Roman" w:cs="Times New Roman"/>
      <w:b/>
      <w:sz w:val="32"/>
      <w:szCs w:val="20"/>
      <w:lang w:eastAsia="en-US"/>
    </w:rPr>
  </w:style>
  <w:style w:type="paragraph" w:styleId="BodyText">
    <w:name w:val="Body Text"/>
    <w:basedOn w:val="Normal"/>
    <w:link w:val="BodyTextChar"/>
    <w:rsid w:val="001E43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43B3"/>
    <w:rPr>
      <w:rFonts w:ascii="Times New Roman" w:eastAsia="Times New Roman" w:hAnsi="Times New Roman" w:cs="Times New Roman"/>
      <w:sz w:val="24"/>
      <w:lang w:val="en-US" w:eastAsia="en-US"/>
    </w:rPr>
  </w:style>
  <w:style w:type="paragraph" w:styleId="Footer">
    <w:name w:val="footer"/>
    <w:basedOn w:val="Normal"/>
    <w:link w:val="FooterChar"/>
    <w:rsid w:val="001E43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43B3"/>
    <w:rPr>
      <w:rFonts w:ascii="Times New Roman" w:eastAsia="Times New Roman" w:hAnsi="Times New Roman" w:cs="Times New Roman"/>
      <w:sz w:val="16"/>
      <w:lang w:val="en-US" w:eastAsia="en-US"/>
    </w:rPr>
  </w:style>
  <w:style w:type="paragraph" w:styleId="List">
    <w:name w:val="List"/>
    <w:basedOn w:val="BodyText"/>
    <w:next w:val="BodyText"/>
    <w:rsid w:val="001E43B3"/>
    <w:pPr>
      <w:tabs>
        <w:tab w:val="left" w:pos="340"/>
      </w:tabs>
      <w:spacing w:before="60" w:after="60"/>
      <w:ind w:left="340" w:hanging="340"/>
    </w:pPr>
  </w:style>
  <w:style w:type="paragraph" w:styleId="ListBullet">
    <w:name w:val="List Bullet"/>
    <w:basedOn w:val="List"/>
    <w:rsid w:val="001E43B3"/>
    <w:pPr>
      <w:numPr>
        <w:numId w:val="13"/>
      </w:numPr>
      <w:tabs>
        <w:tab w:val="clear" w:pos="340"/>
      </w:tabs>
      <w:spacing w:before="40" w:after="40"/>
    </w:pPr>
  </w:style>
  <w:style w:type="character" w:customStyle="1" w:styleId="SpecialBold">
    <w:name w:val="Special Bold"/>
    <w:basedOn w:val="DefaultParagraphFont"/>
    <w:rsid w:val="001E43B3"/>
    <w:rPr>
      <w:b/>
      <w:spacing w:val="0"/>
    </w:rPr>
  </w:style>
  <w:style w:type="paragraph" w:styleId="ListBullet2">
    <w:name w:val="List Bullet 2"/>
    <w:basedOn w:val="List2"/>
    <w:rsid w:val="001E43B3"/>
    <w:pPr>
      <w:numPr>
        <w:numId w:val="14"/>
      </w:numPr>
      <w:tabs>
        <w:tab w:val="clear" w:pos="680"/>
      </w:tabs>
    </w:pPr>
  </w:style>
  <w:style w:type="paragraph" w:styleId="Header">
    <w:name w:val="header"/>
    <w:basedOn w:val="Normal"/>
    <w:link w:val="HeaderChar"/>
    <w:rsid w:val="001E43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43B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E43B3"/>
    <w:rPr>
      <w:i/>
    </w:rPr>
  </w:style>
  <w:style w:type="paragraph" w:customStyle="1" w:styleId="SuperHeading">
    <w:name w:val="SuperHeading"/>
    <w:basedOn w:val="Normal"/>
    <w:rsid w:val="001E43B3"/>
    <w:pPr>
      <w:spacing w:before="240" w:after="120"/>
      <w:outlineLvl w:val="0"/>
    </w:pPr>
    <w:rPr>
      <w:rFonts w:ascii="Times New Roman" w:hAnsi="Times New Roman"/>
      <w:b/>
      <w:sz w:val="28"/>
    </w:rPr>
  </w:style>
  <w:style w:type="paragraph" w:customStyle="1" w:styleId="AllowPageBreak">
    <w:name w:val="AllowPageBreak"/>
    <w:rsid w:val="001E43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43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43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43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43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43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43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43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43B3"/>
    <w:rPr>
      <w:rFonts w:ascii="Courier New" w:eastAsia="Times New Roman" w:hAnsi="Courier New" w:cs="Times New Roman"/>
      <w:i/>
      <w:szCs w:val="20"/>
      <w:lang w:val="en-US" w:eastAsia="en-US"/>
    </w:rPr>
  </w:style>
  <w:style w:type="paragraph" w:customStyle="1" w:styleId="HeadingBase">
    <w:name w:val="Heading Base"/>
    <w:rsid w:val="001E43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43B3"/>
    <w:pPr>
      <w:tabs>
        <w:tab w:val="right" w:leader="dot" w:pos="9072"/>
      </w:tabs>
      <w:ind w:left="567"/>
    </w:pPr>
    <w:rPr>
      <w:szCs w:val="22"/>
    </w:rPr>
  </w:style>
  <w:style w:type="paragraph" w:customStyle="1" w:styleId="TOCBase">
    <w:name w:val="TOC Base"/>
    <w:rsid w:val="001E43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43B3"/>
    <w:pPr>
      <w:tabs>
        <w:tab w:val="right" w:leader="dot" w:pos="9072"/>
      </w:tabs>
      <w:spacing w:before="40" w:after="40"/>
      <w:ind w:left="284"/>
    </w:pPr>
    <w:rPr>
      <w:rFonts w:ascii="Times New Roman" w:hAnsi="Times New Roman"/>
    </w:rPr>
  </w:style>
  <w:style w:type="paragraph" w:styleId="TOC1">
    <w:name w:val="toc 1"/>
    <w:basedOn w:val="TOCBase"/>
    <w:next w:val="Normal"/>
    <w:rsid w:val="001E43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43B3"/>
    <w:pPr>
      <w:spacing w:before="5040"/>
      <w:jc w:val="center"/>
    </w:pPr>
    <w:rPr>
      <w:sz w:val="48"/>
      <w:szCs w:val="72"/>
      <w:lang w:val="en-US"/>
    </w:rPr>
  </w:style>
  <w:style w:type="character" w:customStyle="1" w:styleId="TitleChar">
    <w:name w:val="Title Char"/>
    <w:basedOn w:val="DefaultParagraphFont"/>
    <w:link w:val="Title"/>
    <w:rsid w:val="001E43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43B3"/>
    <w:pPr>
      <w:tabs>
        <w:tab w:val="left" w:pos="3600"/>
        <w:tab w:val="left" w:pos="3958"/>
      </w:tabs>
    </w:pPr>
  </w:style>
  <w:style w:type="paragraph" w:customStyle="1" w:styleId="Note">
    <w:name w:val="Note"/>
    <w:basedOn w:val="BodyText"/>
    <w:rsid w:val="001E43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43B3"/>
    <w:pPr>
      <w:framePr w:wrap="auto" w:hAnchor="text" w:y="6049"/>
    </w:pPr>
    <w:rPr>
      <w:color w:val="000000"/>
      <w:sz w:val="40"/>
    </w:rPr>
  </w:style>
  <w:style w:type="paragraph" w:customStyle="1" w:styleId="TOCTitle">
    <w:name w:val="TOCTitle"/>
    <w:basedOn w:val="Heading1"/>
    <w:rsid w:val="001E43B3"/>
    <w:pPr>
      <w:spacing w:after="240"/>
      <w:jc w:val="center"/>
      <w:outlineLvl w:val="9"/>
    </w:pPr>
    <w:rPr>
      <w:caps/>
    </w:rPr>
  </w:style>
  <w:style w:type="paragraph" w:customStyle="1" w:styleId="Version">
    <w:name w:val="Version"/>
    <w:rsid w:val="001E43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43B3"/>
    <w:pPr>
      <w:keepNext w:val="0"/>
      <w:tabs>
        <w:tab w:val="right" w:pos="4176"/>
      </w:tabs>
      <w:ind w:left="198" w:hanging="198"/>
    </w:pPr>
    <w:rPr>
      <w:rFonts w:ascii="Garamond" w:hAnsi="Garamond"/>
    </w:rPr>
  </w:style>
  <w:style w:type="paragraph" w:styleId="IndexHeading">
    <w:name w:val="index heading"/>
    <w:basedOn w:val="Normal"/>
    <w:next w:val="Index1"/>
    <w:semiHidden/>
    <w:rsid w:val="001E43B3"/>
    <w:pPr>
      <w:spacing w:before="120" w:after="120"/>
    </w:pPr>
    <w:rPr>
      <w:rFonts w:ascii="Arial" w:hAnsi="Arial"/>
      <w:b/>
      <w:color w:val="918585"/>
      <w:sz w:val="24"/>
    </w:rPr>
  </w:style>
  <w:style w:type="paragraph" w:customStyle="1" w:styleId="Chapter">
    <w:name w:val="Chapter"/>
    <w:basedOn w:val="Normal"/>
    <w:rsid w:val="001E43B3"/>
    <w:pPr>
      <w:spacing w:before="240"/>
    </w:pPr>
    <w:rPr>
      <w:rFonts w:ascii="Times New Roman" w:hAnsi="Times New Roman"/>
      <w:smallCaps/>
      <w:spacing w:val="80"/>
      <w:sz w:val="28"/>
    </w:rPr>
  </w:style>
  <w:style w:type="paragraph" w:customStyle="1" w:styleId="InChapter">
    <w:name w:val="InChapter"/>
    <w:basedOn w:val="Heading3"/>
    <w:rsid w:val="001E43B3"/>
    <w:pPr>
      <w:spacing w:after="240"/>
      <w:outlineLvl w:val="9"/>
    </w:pPr>
    <w:rPr>
      <w:noProof/>
    </w:rPr>
  </w:style>
  <w:style w:type="paragraph" w:styleId="Index2">
    <w:name w:val="index 2"/>
    <w:basedOn w:val="Normal"/>
    <w:next w:val="Normal"/>
    <w:semiHidden/>
    <w:rsid w:val="001E43B3"/>
    <w:pPr>
      <w:tabs>
        <w:tab w:val="right" w:pos="4176"/>
      </w:tabs>
      <w:ind w:left="568" w:hanging="284"/>
    </w:pPr>
    <w:rPr>
      <w:rFonts w:ascii="Garamond" w:hAnsi="Garamond"/>
    </w:rPr>
  </w:style>
  <w:style w:type="paragraph" w:customStyle="1" w:styleId="Byline">
    <w:name w:val="Byline"/>
    <w:rsid w:val="001E43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43B3"/>
    <w:pPr>
      <w:tabs>
        <w:tab w:val="clear" w:pos="3600"/>
        <w:tab w:val="clear" w:pos="3958"/>
      </w:tabs>
      <w:jc w:val="right"/>
    </w:pPr>
  </w:style>
  <w:style w:type="paragraph" w:styleId="Caption">
    <w:name w:val="caption"/>
    <w:basedOn w:val="BodyText"/>
    <w:next w:val="Normal"/>
    <w:qFormat/>
    <w:rsid w:val="001E43B3"/>
    <w:pPr>
      <w:framePr w:w="2268" w:hSpace="181" w:vSpace="181" w:wrap="around" w:vAnchor="text" w:hAnchor="page" w:x="1135" w:y="285" w:anchorLock="1"/>
    </w:pPr>
    <w:rPr>
      <w:i/>
    </w:rPr>
  </w:style>
  <w:style w:type="paragraph" w:customStyle="1" w:styleId="MiniTOCTitle">
    <w:name w:val="MiniTOCTitle"/>
    <w:basedOn w:val="Heading4"/>
    <w:rsid w:val="001E43B3"/>
    <w:pPr>
      <w:spacing w:before="240"/>
      <w:outlineLvl w:val="9"/>
    </w:pPr>
    <w:rPr>
      <w:noProof/>
      <w:sz w:val="24"/>
    </w:rPr>
  </w:style>
  <w:style w:type="paragraph" w:customStyle="1" w:styleId="MiniTOCItem">
    <w:name w:val="MiniTOCItem"/>
    <w:basedOn w:val="ListBullet"/>
    <w:rsid w:val="001E43B3"/>
    <w:pPr>
      <w:numPr>
        <w:numId w:val="0"/>
      </w:numPr>
      <w:tabs>
        <w:tab w:val="right" w:leader="dot" w:pos="6521"/>
      </w:tabs>
      <w:spacing w:before="0" w:after="0"/>
    </w:pPr>
  </w:style>
  <w:style w:type="paragraph" w:customStyle="1" w:styleId="TOFTitle">
    <w:name w:val="TOFTitle"/>
    <w:basedOn w:val="TOCTitle"/>
    <w:rsid w:val="001E43B3"/>
  </w:style>
  <w:style w:type="paragraph" w:styleId="TableofFigures">
    <w:name w:val="table of figures"/>
    <w:basedOn w:val="Normal"/>
    <w:next w:val="Normal"/>
    <w:semiHidden/>
    <w:rsid w:val="001E43B3"/>
    <w:pPr>
      <w:tabs>
        <w:tab w:val="right" w:leader="dot" w:pos="9072"/>
      </w:tabs>
      <w:ind w:left="970" w:hanging="403"/>
    </w:pPr>
    <w:rPr>
      <w:rFonts w:ascii="Times New Roman" w:hAnsi="Times New Roman"/>
      <w:b/>
    </w:rPr>
  </w:style>
  <w:style w:type="paragraph" w:styleId="ListNumber">
    <w:name w:val="List Number"/>
    <w:basedOn w:val="List"/>
    <w:rsid w:val="001E43B3"/>
    <w:pPr>
      <w:numPr>
        <w:numId w:val="11"/>
      </w:numPr>
    </w:pPr>
  </w:style>
  <w:style w:type="character" w:customStyle="1" w:styleId="WingdingSymbols">
    <w:name w:val="Wingding Symbols"/>
    <w:rsid w:val="001E43B3"/>
    <w:rPr>
      <w:rFonts w:ascii="Wingdings" w:hAnsi="Wingdings"/>
    </w:rPr>
  </w:style>
  <w:style w:type="paragraph" w:customStyle="1" w:styleId="TableHeading">
    <w:name w:val="Table Heading"/>
    <w:basedOn w:val="HeadingBase"/>
    <w:rsid w:val="001E43B3"/>
    <w:pPr>
      <w:keepLines/>
      <w:pBdr>
        <w:bottom w:val="single" w:sz="6" w:space="1" w:color="918585"/>
      </w:pBdr>
      <w:spacing w:before="240"/>
    </w:pPr>
  </w:style>
  <w:style w:type="character" w:customStyle="1" w:styleId="HotSpot">
    <w:name w:val="HotSpot"/>
    <w:rsid w:val="001E43B3"/>
    <w:rPr>
      <w:color w:val="0033CC"/>
      <w:u w:val="none"/>
    </w:rPr>
  </w:style>
  <w:style w:type="paragraph" w:customStyle="1" w:styleId="BodyTextRight">
    <w:name w:val="Body Text Right"/>
    <w:basedOn w:val="BodyText"/>
    <w:rsid w:val="001E43B3"/>
    <w:pPr>
      <w:spacing w:before="0" w:after="0"/>
      <w:jc w:val="right"/>
    </w:pPr>
  </w:style>
  <w:style w:type="paragraph" w:styleId="Index3">
    <w:name w:val="index 3"/>
    <w:basedOn w:val="ListNumber2"/>
    <w:next w:val="Normal"/>
    <w:semiHidden/>
    <w:rsid w:val="001E43B3"/>
    <w:pPr>
      <w:numPr>
        <w:numId w:val="0"/>
      </w:numPr>
      <w:tabs>
        <w:tab w:val="right" w:leader="dot" w:pos="4176"/>
      </w:tabs>
    </w:pPr>
  </w:style>
  <w:style w:type="paragraph" w:styleId="ListNumber2">
    <w:name w:val="List Number 2"/>
    <w:basedOn w:val="List2"/>
    <w:rsid w:val="001E43B3"/>
    <w:pPr>
      <w:numPr>
        <w:numId w:val="10"/>
      </w:numPr>
      <w:tabs>
        <w:tab w:val="clear" w:pos="1060"/>
      </w:tabs>
    </w:pPr>
  </w:style>
  <w:style w:type="paragraph" w:customStyle="1" w:styleId="MarginNote">
    <w:name w:val="Margin Note"/>
    <w:basedOn w:val="BodyText"/>
    <w:rsid w:val="001E43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43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43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43B3"/>
    <w:rPr>
      <w:sz w:val="32"/>
    </w:rPr>
  </w:style>
  <w:style w:type="paragraph" w:customStyle="1" w:styleId="HeadingProcedure">
    <w:name w:val="Heading Procedure"/>
    <w:basedOn w:val="HeadingBase"/>
    <w:next w:val="Normal"/>
    <w:rsid w:val="001E43B3"/>
    <w:pPr>
      <w:tabs>
        <w:tab w:val="left" w:pos="0"/>
      </w:tabs>
      <w:spacing w:before="120" w:after="60"/>
    </w:pPr>
    <w:rPr>
      <w:i/>
      <w:color w:val="918585"/>
      <w:sz w:val="22"/>
    </w:rPr>
  </w:style>
  <w:style w:type="paragraph" w:customStyle="1" w:styleId="TableBodyText">
    <w:name w:val="Table Body Text"/>
    <w:basedOn w:val="BodyText"/>
    <w:rsid w:val="001E43B3"/>
    <w:pPr>
      <w:spacing w:before="60" w:after="60"/>
    </w:pPr>
  </w:style>
  <w:style w:type="paragraph" w:styleId="ListContinue">
    <w:name w:val="List Continue"/>
    <w:basedOn w:val="List"/>
    <w:rsid w:val="001E43B3"/>
    <w:pPr>
      <w:ind w:firstLine="0"/>
    </w:pPr>
  </w:style>
  <w:style w:type="paragraph" w:customStyle="1" w:styleId="ListNote">
    <w:name w:val="List Note"/>
    <w:basedOn w:val="List"/>
    <w:rsid w:val="001E43B3"/>
    <w:pPr>
      <w:pBdr>
        <w:top w:val="single" w:sz="6" w:space="2" w:color="918585"/>
        <w:bottom w:val="single" w:sz="6" w:space="2" w:color="918585"/>
      </w:pBdr>
      <w:tabs>
        <w:tab w:val="left" w:pos="1021"/>
      </w:tabs>
      <w:ind w:firstLine="0"/>
    </w:pPr>
  </w:style>
  <w:style w:type="paragraph" w:customStyle="1" w:styleId="Warning">
    <w:name w:val="Warning"/>
    <w:basedOn w:val="BodyText"/>
    <w:rsid w:val="001E43B3"/>
    <w:pPr>
      <w:shd w:val="clear" w:color="auto" w:fill="D9D9D9"/>
      <w:tabs>
        <w:tab w:val="left" w:pos="992"/>
      </w:tabs>
      <w:ind w:left="119" w:right="119"/>
    </w:pPr>
    <w:rPr>
      <w:sz w:val="20"/>
    </w:rPr>
  </w:style>
  <w:style w:type="paragraph" w:customStyle="1" w:styleId="MarginIcons">
    <w:name w:val="Margin Icons"/>
    <w:basedOn w:val="BodyText"/>
    <w:rsid w:val="001E43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43B3"/>
    <w:rPr>
      <w:rFonts w:ascii="Courier New" w:hAnsi="Courier New"/>
    </w:rPr>
  </w:style>
  <w:style w:type="paragraph" w:customStyle="1" w:styleId="NoteBullet">
    <w:name w:val="Note Bullet"/>
    <w:basedOn w:val="Note"/>
    <w:rsid w:val="001E43B3"/>
    <w:pPr>
      <w:tabs>
        <w:tab w:val="clear" w:pos="680"/>
      </w:tabs>
      <w:spacing w:before="60" w:after="60"/>
    </w:pPr>
  </w:style>
  <w:style w:type="paragraph" w:customStyle="1" w:styleId="SubHeading2">
    <w:name w:val="SubHeading2"/>
    <w:basedOn w:val="HeadingBase"/>
    <w:rsid w:val="001E43B3"/>
    <w:pPr>
      <w:spacing w:before="240" w:after="60"/>
    </w:pPr>
    <w:rPr>
      <w:sz w:val="20"/>
    </w:rPr>
  </w:style>
  <w:style w:type="paragraph" w:customStyle="1" w:styleId="SubHeading1">
    <w:name w:val="SubHeading1"/>
    <w:basedOn w:val="HeadingBase"/>
    <w:rsid w:val="001E43B3"/>
    <w:pPr>
      <w:spacing w:before="240" w:after="60"/>
    </w:pPr>
    <w:rPr>
      <w:color w:val="918585"/>
      <w:sz w:val="22"/>
    </w:rPr>
  </w:style>
  <w:style w:type="paragraph" w:customStyle="1" w:styleId="SideHeading">
    <w:name w:val="Side Heading"/>
    <w:basedOn w:val="HeadingBase"/>
    <w:rsid w:val="001E43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43B3"/>
    <w:pPr>
      <w:numPr>
        <w:numId w:val="12"/>
      </w:numPr>
    </w:pPr>
  </w:style>
  <w:style w:type="paragraph" w:styleId="PlainText">
    <w:name w:val="Plain Text"/>
    <w:basedOn w:val="Normal"/>
    <w:link w:val="PlainTextChar"/>
    <w:rsid w:val="001E43B3"/>
    <w:rPr>
      <w:sz w:val="20"/>
    </w:rPr>
  </w:style>
  <w:style w:type="character" w:customStyle="1" w:styleId="PlainTextChar">
    <w:name w:val="Plain Text Char"/>
    <w:basedOn w:val="DefaultParagraphFont"/>
    <w:link w:val="PlainText"/>
    <w:rsid w:val="001E43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43B3"/>
    <w:rPr>
      <w:b/>
      <w:smallCaps/>
    </w:rPr>
  </w:style>
  <w:style w:type="paragraph" w:customStyle="1" w:styleId="TableListNumber">
    <w:name w:val="Table List Number"/>
    <w:basedOn w:val="ListNumber"/>
    <w:rsid w:val="001E43B3"/>
    <w:pPr>
      <w:numPr>
        <w:numId w:val="0"/>
      </w:numPr>
    </w:pPr>
  </w:style>
  <w:style w:type="paragraph" w:styleId="TOC4">
    <w:name w:val="toc 4"/>
    <w:basedOn w:val="TOCBase"/>
    <w:next w:val="Normal"/>
    <w:semiHidden/>
    <w:rsid w:val="001E43B3"/>
    <w:pPr>
      <w:tabs>
        <w:tab w:val="right" w:leader="dot" w:pos="9071"/>
      </w:tabs>
      <w:ind w:left="1701"/>
    </w:pPr>
  </w:style>
  <w:style w:type="paragraph" w:customStyle="1" w:styleId="ListAlpha">
    <w:name w:val="List Alpha"/>
    <w:basedOn w:val="List"/>
    <w:rsid w:val="001E43B3"/>
    <w:pPr>
      <w:numPr>
        <w:numId w:val="9"/>
      </w:numPr>
    </w:pPr>
  </w:style>
  <w:style w:type="paragraph" w:customStyle="1" w:styleId="ListAlpha2">
    <w:name w:val="List Alpha 2"/>
    <w:basedOn w:val="List2"/>
    <w:rsid w:val="001E43B3"/>
    <w:pPr>
      <w:numPr>
        <w:numId w:val="8"/>
      </w:numPr>
    </w:pPr>
  </w:style>
  <w:style w:type="paragraph" w:styleId="List2">
    <w:name w:val="List 2"/>
    <w:basedOn w:val="BodyText"/>
    <w:rsid w:val="001E43B3"/>
    <w:pPr>
      <w:tabs>
        <w:tab w:val="left" w:pos="680"/>
      </w:tabs>
      <w:spacing w:before="60" w:after="60"/>
      <w:ind w:left="680" w:hanging="340"/>
    </w:pPr>
  </w:style>
  <w:style w:type="paragraph" w:styleId="List3">
    <w:name w:val="List 3"/>
    <w:basedOn w:val="BodyText"/>
    <w:rsid w:val="001E43B3"/>
    <w:pPr>
      <w:tabs>
        <w:tab w:val="left" w:pos="1021"/>
      </w:tabs>
      <w:spacing w:before="60" w:after="60"/>
      <w:ind w:left="1020" w:hanging="340"/>
    </w:pPr>
  </w:style>
  <w:style w:type="paragraph" w:styleId="List4">
    <w:name w:val="List 4"/>
    <w:basedOn w:val="BodyText"/>
    <w:rsid w:val="001E43B3"/>
    <w:pPr>
      <w:tabs>
        <w:tab w:val="left" w:pos="1361"/>
      </w:tabs>
      <w:spacing w:before="60" w:after="60"/>
      <w:ind w:left="1361" w:hanging="340"/>
    </w:pPr>
  </w:style>
  <w:style w:type="paragraph" w:styleId="List5">
    <w:name w:val="List 5"/>
    <w:basedOn w:val="BodyText"/>
    <w:rsid w:val="001E43B3"/>
    <w:pPr>
      <w:tabs>
        <w:tab w:val="left" w:pos="1701"/>
      </w:tabs>
      <w:spacing w:before="60" w:after="60"/>
      <w:ind w:left="1701" w:hanging="340"/>
    </w:pPr>
  </w:style>
  <w:style w:type="paragraph" w:styleId="ListBullet3">
    <w:name w:val="List Bullet 3"/>
    <w:basedOn w:val="List3"/>
    <w:rsid w:val="001E43B3"/>
    <w:pPr>
      <w:numPr>
        <w:numId w:val="15"/>
      </w:numPr>
      <w:tabs>
        <w:tab w:val="clear" w:pos="1021"/>
      </w:tabs>
      <w:ind w:left="1037" w:hanging="357"/>
    </w:pPr>
  </w:style>
  <w:style w:type="paragraph" w:styleId="ListBullet4">
    <w:name w:val="List Bullet 4"/>
    <w:basedOn w:val="List4"/>
    <w:rsid w:val="001E43B3"/>
    <w:pPr>
      <w:numPr>
        <w:numId w:val="3"/>
      </w:numPr>
    </w:pPr>
  </w:style>
  <w:style w:type="paragraph" w:styleId="ListBullet5">
    <w:name w:val="List Bullet 5"/>
    <w:basedOn w:val="List5"/>
    <w:rsid w:val="001E43B3"/>
    <w:pPr>
      <w:numPr>
        <w:numId w:val="4"/>
      </w:numPr>
    </w:pPr>
  </w:style>
  <w:style w:type="paragraph" w:styleId="ListContinue2">
    <w:name w:val="List Continue 2"/>
    <w:basedOn w:val="List2"/>
    <w:rsid w:val="001E43B3"/>
    <w:pPr>
      <w:ind w:firstLine="0"/>
    </w:pPr>
  </w:style>
  <w:style w:type="paragraph" w:styleId="ListContinue3">
    <w:name w:val="List Continue 3"/>
    <w:basedOn w:val="List3"/>
    <w:rsid w:val="001E43B3"/>
    <w:pPr>
      <w:ind w:left="1021" w:firstLine="0"/>
    </w:pPr>
  </w:style>
  <w:style w:type="paragraph" w:styleId="ListContinue4">
    <w:name w:val="List Continue 4"/>
    <w:basedOn w:val="List4"/>
    <w:rsid w:val="001E43B3"/>
    <w:pPr>
      <w:ind w:firstLine="0"/>
    </w:pPr>
  </w:style>
  <w:style w:type="paragraph" w:styleId="ListContinue5">
    <w:name w:val="List Continue 5"/>
    <w:basedOn w:val="List5"/>
    <w:rsid w:val="001E43B3"/>
    <w:pPr>
      <w:ind w:firstLine="0"/>
    </w:pPr>
  </w:style>
  <w:style w:type="paragraph" w:styleId="ListNumber3">
    <w:name w:val="List Number 3"/>
    <w:basedOn w:val="List3"/>
    <w:rsid w:val="001E43B3"/>
    <w:pPr>
      <w:numPr>
        <w:numId w:val="5"/>
      </w:numPr>
    </w:pPr>
  </w:style>
  <w:style w:type="paragraph" w:styleId="ListNumber4">
    <w:name w:val="List Number 4"/>
    <w:basedOn w:val="List4"/>
    <w:rsid w:val="001E43B3"/>
    <w:pPr>
      <w:numPr>
        <w:numId w:val="6"/>
      </w:numPr>
    </w:pPr>
  </w:style>
  <w:style w:type="paragraph" w:styleId="ListNumber5">
    <w:name w:val="List Number 5"/>
    <w:basedOn w:val="List5"/>
    <w:rsid w:val="001E43B3"/>
    <w:pPr>
      <w:numPr>
        <w:numId w:val="7"/>
      </w:numPr>
    </w:pPr>
  </w:style>
  <w:style w:type="paragraph" w:styleId="BlockText">
    <w:name w:val="Block Text"/>
    <w:basedOn w:val="Normal"/>
    <w:rsid w:val="001E43B3"/>
    <w:pPr>
      <w:spacing w:after="120"/>
      <w:ind w:left="1440" w:right="1440"/>
    </w:pPr>
  </w:style>
  <w:style w:type="character" w:customStyle="1" w:styleId="Subscript">
    <w:name w:val="Subscript"/>
    <w:basedOn w:val="DefaultParagraphFont"/>
    <w:rsid w:val="001E43B3"/>
    <w:rPr>
      <w:sz w:val="16"/>
      <w:vertAlign w:val="subscript"/>
    </w:rPr>
  </w:style>
  <w:style w:type="character" w:customStyle="1" w:styleId="Superscript">
    <w:name w:val="Superscript"/>
    <w:basedOn w:val="DefaultParagraphFont"/>
    <w:rsid w:val="001E43B3"/>
    <w:rPr>
      <w:sz w:val="16"/>
      <w:vertAlign w:val="superscript"/>
    </w:rPr>
  </w:style>
  <w:style w:type="character" w:customStyle="1" w:styleId="Symbols">
    <w:name w:val="Symbols"/>
    <w:basedOn w:val="DefaultParagraphFont"/>
    <w:rsid w:val="001E43B3"/>
    <w:rPr>
      <w:rFonts w:ascii="Symbol" w:hAnsi="Symbol"/>
    </w:rPr>
  </w:style>
  <w:style w:type="character" w:customStyle="1" w:styleId="MenuOptions">
    <w:name w:val="Menu Options"/>
    <w:basedOn w:val="DefaultParagraphFont"/>
    <w:rsid w:val="001E43B3"/>
    <w:rPr>
      <w:rFonts w:ascii="Arial Narrow" w:hAnsi="Arial Narrow"/>
      <w:smallCaps/>
    </w:rPr>
  </w:style>
  <w:style w:type="character" w:customStyle="1" w:styleId="Buttons">
    <w:name w:val="Buttons"/>
    <w:basedOn w:val="DefaultParagraphFont"/>
    <w:rsid w:val="001E43B3"/>
    <w:rPr>
      <w:b/>
    </w:rPr>
  </w:style>
  <w:style w:type="character" w:customStyle="1" w:styleId="Underlined">
    <w:name w:val="Underlined"/>
    <w:basedOn w:val="DefaultParagraphFont"/>
    <w:rsid w:val="001E43B3"/>
    <w:rPr>
      <w:u w:val="single"/>
    </w:rPr>
  </w:style>
  <w:style w:type="paragraph" w:customStyle="1" w:styleId="TableBodyTextRight">
    <w:name w:val="Table Body Text Right"/>
    <w:basedOn w:val="TableBodyText"/>
    <w:rsid w:val="001E43B3"/>
    <w:pPr>
      <w:widowControl w:val="0"/>
      <w:autoSpaceDE w:val="0"/>
      <w:autoSpaceDN w:val="0"/>
      <w:adjustRightInd w:val="0"/>
      <w:jc w:val="right"/>
    </w:pPr>
    <w:rPr>
      <w:rFonts w:cs="Arial"/>
      <w:szCs w:val="18"/>
    </w:rPr>
  </w:style>
  <w:style w:type="paragraph" w:customStyle="1" w:styleId="CopyrightText">
    <w:name w:val="Copyright Text"/>
    <w:basedOn w:val="BodyText"/>
    <w:rsid w:val="001E43B3"/>
    <w:rPr>
      <w:sz w:val="18"/>
    </w:rPr>
  </w:style>
  <w:style w:type="paragraph" w:customStyle="1" w:styleId="BodySmallRight">
    <w:name w:val="Body Small Right"/>
    <w:basedOn w:val="BodyTextRight"/>
    <w:rsid w:val="001E43B3"/>
    <w:rPr>
      <w:sz w:val="18"/>
      <w:szCs w:val="18"/>
    </w:rPr>
  </w:style>
  <w:style w:type="paragraph" w:customStyle="1" w:styleId="MarginEdition">
    <w:name w:val="Margin Edition"/>
    <w:basedOn w:val="MarginNote"/>
    <w:rsid w:val="001E43B3"/>
    <w:pPr>
      <w:spacing w:before="0" w:after="0"/>
    </w:pPr>
    <w:rPr>
      <w:rFonts w:ascii="Times New Roman" w:hAnsi="Times New Roman"/>
      <w:color w:val="999999"/>
    </w:rPr>
  </w:style>
  <w:style w:type="paragraph" w:customStyle="1" w:styleId="Spacer">
    <w:name w:val="Spacer"/>
    <w:basedOn w:val="Normal"/>
    <w:rsid w:val="001E43B3"/>
    <w:rPr>
      <w:sz w:val="2"/>
      <w:szCs w:val="2"/>
    </w:rPr>
  </w:style>
  <w:style w:type="character" w:customStyle="1" w:styleId="Small">
    <w:name w:val="Small"/>
    <w:basedOn w:val="DefaultParagraphFont"/>
    <w:rsid w:val="001E43B3"/>
    <w:rPr>
      <w:sz w:val="16"/>
    </w:rPr>
  </w:style>
  <w:style w:type="paragraph" w:customStyle="1" w:styleId="WideTable">
    <w:name w:val="Wide Table"/>
    <w:basedOn w:val="Normal"/>
    <w:rsid w:val="001E43B3"/>
    <w:pPr>
      <w:ind w:left="-1418"/>
    </w:pPr>
    <w:rPr>
      <w:sz w:val="2"/>
      <w:szCs w:val="2"/>
    </w:rPr>
  </w:style>
  <w:style w:type="character" w:styleId="PageNumber">
    <w:name w:val="page number"/>
    <w:basedOn w:val="DefaultParagraphFont"/>
    <w:rsid w:val="001E43B3"/>
  </w:style>
  <w:style w:type="paragraph" w:styleId="Quote">
    <w:name w:val="Quote"/>
    <w:basedOn w:val="Heading1"/>
    <w:link w:val="QuoteChar"/>
    <w:qFormat/>
    <w:rsid w:val="001E43B3"/>
    <w:rPr>
      <w:b w:val="0"/>
      <w:sz w:val="72"/>
      <w:szCs w:val="72"/>
      <w:lang w:val="en-NZ"/>
    </w:rPr>
  </w:style>
  <w:style w:type="character" w:customStyle="1" w:styleId="QuoteChar">
    <w:name w:val="Quote Char"/>
    <w:basedOn w:val="DefaultParagraphFont"/>
    <w:link w:val="Quote"/>
    <w:rsid w:val="001E43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43B3"/>
    <w:pPr>
      <w:pageBreakBefore/>
    </w:pPr>
  </w:style>
  <w:style w:type="paragraph" w:customStyle="1" w:styleId="Border">
    <w:name w:val="Border"/>
    <w:basedOn w:val="Normal"/>
    <w:qFormat/>
    <w:rsid w:val="001E43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43B3"/>
    <w:rPr>
      <w:b/>
      <w:bCs/>
      <w:i/>
      <w:iCs/>
      <w:color w:val="auto"/>
    </w:rPr>
  </w:style>
  <w:style w:type="paragraph" w:styleId="IntenseQuote">
    <w:name w:val="Intense Quote"/>
    <w:basedOn w:val="Normal"/>
    <w:next w:val="Normal"/>
    <w:link w:val="IntenseQuoteChar"/>
    <w:uiPriority w:val="30"/>
    <w:qFormat/>
    <w:rsid w:val="001E43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43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43B3"/>
    <w:rPr>
      <w:smallCaps/>
      <w:color w:val="auto"/>
      <w:u w:val="single"/>
    </w:rPr>
  </w:style>
  <w:style w:type="character" w:styleId="IntenseReference">
    <w:name w:val="Intense Reference"/>
    <w:basedOn w:val="DefaultParagraphFont"/>
    <w:uiPriority w:val="32"/>
    <w:qFormat/>
    <w:rsid w:val="001E43B3"/>
    <w:rPr>
      <w:b/>
      <w:bCs/>
      <w:smallCaps/>
      <w:color w:val="auto"/>
      <w:spacing w:val="5"/>
      <w:u w:val="single"/>
    </w:rPr>
  </w:style>
  <w:style w:type="paragraph" w:customStyle="1" w:styleId="2ColumnHeading">
    <w:name w:val="2Column Heading"/>
    <w:basedOn w:val="BodyText"/>
    <w:qFormat/>
    <w:rsid w:val="001E43B3"/>
    <w:pPr>
      <w:spacing w:after="60"/>
      <w:ind w:left="-2268"/>
    </w:pPr>
    <w:rPr>
      <w:b/>
    </w:rPr>
  </w:style>
  <w:style w:type="paragraph" w:customStyle="1" w:styleId="Heading1TOC">
    <w:name w:val="Heading1 TOC"/>
    <w:basedOn w:val="Normal"/>
    <w:qFormat/>
    <w:rsid w:val="001E43B3"/>
    <w:pPr>
      <w:spacing w:before="240" w:after="120"/>
    </w:pPr>
    <w:rPr>
      <w:rFonts w:ascii="Times New Roman" w:hAnsi="Times New Roman"/>
      <w:b/>
      <w:sz w:val="32"/>
    </w:rPr>
  </w:style>
  <w:style w:type="paragraph" w:customStyle="1" w:styleId="Heading2TOC">
    <w:name w:val="Heading2 TOC"/>
    <w:basedOn w:val="Normal"/>
    <w:qFormat/>
    <w:rsid w:val="001E43B3"/>
    <w:pPr>
      <w:spacing w:before="240" w:after="60"/>
    </w:pPr>
    <w:rPr>
      <w:rFonts w:ascii="Times New Roman" w:hAnsi="Times New Roman"/>
      <w:b/>
      <w:sz w:val="28"/>
    </w:rPr>
  </w:style>
  <w:style w:type="character" w:customStyle="1" w:styleId="Underline">
    <w:name w:val="Underline"/>
    <w:basedOn w:val="DefaultParagraphFont"/>
    <w:qFormat/>
    <w:rsid w:val="001E43B3"/>
    <w:rPr>
      <w:u w:val="single"/>
    </w:rPr>
  </w:style>
  <w:style w:type="character" w:customStyle="1" w:styleId="BoldandItalics">
    <w:name w:val="Bold and Italics"/>
    <w:qFormat/>
    <w:rsid w:val="001E43B3"/>
    <w:rPr>
      <w:b/>
      <w:i/>
      <w:u w:val="none"/>
    </w:rPr>
  </w:style>
  <w:style w:type="paragraph" w:styleId="BalloonText">
    <w:name w:val="Balloon Text"/>
    <w:basedOn w:val="Normal"/>
    <w:link w:val="BalloonTextChar"/>
    <w:rsid w:val="001E43B3"/>
    <w:rPr>
      <w:rFonts w:ascii="Tahoma" w:hAnsi="Tahoma" w:cs="Tahoma"/>
      <w:sz w:val="16"/>
      <w:szCs w:val="16"/>
    </w:rPr>
  </w:style>
  <w:style w:type="character" w:customStyle="1" w:styleId="BalloonTextChar">
    <w:name w:val="Balloon Text Char"/>
    <w:basedOn w:val="DefaultParagraphFont"/>
    <w:link w:val="BalloonText"/>
    <w:rsid w:val="001E43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43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43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1815</Words>
  <Characters>11360</Characters>
  <Application>Microsoft Office Word</Application>
  <DocSecurity>0</DocSecurity>
  <Lines>455</Lines>
  <Paragraphs>235</Paragraphs>
  <ScaleCrop>false</ScaleCrop>
  <Company>Author-it Software Corporation Ltd.</Company>
  <LinksUpToDate>false</LinksUpToDate>
  <CharactersWithSpaces>13105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CHCCS426A Provide support and care relating to loss and grief</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2012-05-26T22:57:00Z</dcterms:created>
  <dcterms:modified xsi:type="dcterms:W3CDTF">2012-05-26T22:57:00Z</dcterms:modified>
</cp:coreProperties>
</file>