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CE3" w:rsidP="00D76CE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CHCCEL402A Establish and maintain knowledge of legal responsibilities of a marriage celebrant</w:t>
      </w:r>
      <w:r>
        <w:fldChar w:fldCharType="end"/>
      </w:r>
    </w:p>
    <w:p w:rsidR="00D76CE3" w:rsidP="00D76CE3">
      <w:pPr>
        <w:pStyle w:val="Version"/>
        <w:sectPr w:rsidSect="00A70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EFF" w:rsidP="00A70EFF">
      <w:pPr>
        <w:pStyle w:val="SuperHeading"/>
      </w:pPr>
      <w:r w:rsidRPr="00A70EFF">
        <w:t>CHCCEL402A Establish and maintain knowledge of legal responsibilities of a marriage celebrant</w:t>
      </w:r>
    </w:p>
    <w:p w:rsidR="00000000" w:rsidRPr="00A70EFF" w:rsidP="00A70EFF">
      <w:pPr>
        <w:pStyle w:val="Heading1"/>
      </w:pPr>
      <w:bookmarkStart w:id="1" w:name="O_268880"/>
      <w:bookmarkEnd w:id="1"/>
      <w:r w:rsidRPr="00A70EFF">
        <w:t>Modification History</w:t>
      </w:r>
    </w:p>
    <w:p w:rsidR="00000000" w:rsidRPr="00A70EFF" w:rsidP="00A70EFF">
      <w:pPr>
        <w:pStyle w:val="BodyText"/>
      </w:pPr>
      <w:r w:rsidRPr="00A70EFF">
        <w:t>Not Applicable</w:t>
      </w:r>
    </w:p>
    <w:p w:rsidR="00000000" w:rsidRPr="00A70EFF" w:rsidP="00A70EFF">
      <w:pPr>
        <w:pStyle w:val="AllowPageBreak"/>
      </w:pPr>
    </w:p>
    <w:p w:rsidR="00000000" w:rsidRPr="00A70EFF" w:rsidP="00A70EFF">
      <w:pPr>
        <w:pStyle w:val="Heading1"/>
      </w:pPr>
      <w:bookmarkStart w:id="2" w:name="O_195063"/>
      <w:bookmarkEnd w:id="2"/>
      <w:r w:rsidRPr="00A70EFF">
        <w:t>Uni</w:t>
      </w:r>
      <w:r w:rsidRPr="00A70EFF">
        <w:t>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2"/>
        <w:gridCol w:w="5224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Descriptor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 xml:space="preserve">This unit describes the knowledge required to be developed and maintained by marriage celebrants to fulfil their legal responsibilities under the </w:t>
            </w:r>
            <w:r w:rsidRPr="00A70EFF">
              <w:rPr>
                <w:rStyle w:val="Emphasis"/>
              </w:rPr>
              <w:t>Marriage Act 1961</w:t>
            </w:r>
            <w:r w:rsidRPr="00A70EFF">
              <w:t xml:space="preserve"> and </w:t>
            </w:r>
            <w:r w:rsidRPr="00A70EFF">
              <w:rPr>
                <w:rStyle w:val="Emphasis"/>
              </w:rPr>
              <w:t>Marriage Regulations 1963</w:t>
            </w:r>
            <w:r w:rsidRPr="00A70EFF">
              <w:t>, including the Code of Practice for Ma</w:t>
            </w:r>
            <w:r w:rsidRPr="00A70EFF">
              <w:t>rriage Celebrants</w:t>
            </w:r>
          </w:p>
          <w:p w:rsidR="00000000" w:rsidRPr="00A70EFF" w:rsidP="00A70EFF">
            <w:pPr>
              <w:pStyle w:val="BodyText"/>
            </w:pPr>
            <w:r w:rsidRPr="00A70EFF">
              <w:t>It is a pre-requisite for enrolment in all other units of competency specific to marriage celebrancy</w:t>
            </w: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3" w:name="O_195066"/>
      <w:bookmarkEnd w:id="3"/>
      <w:r w:rsidRPr="00A70EF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4"/>
        <w:gridCol w:w="5212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Application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 xml:space="preserve">This unit is mandatory for individuals aspiring to be appointed as marriage celebrants and suitable for existing marriage celebrants registered under Subdivision C of Division 1 of Part IV of the </w:t>
            </w:r>
            <w:r w:rsidRPr="00A70EFF">
              <w:rPr>
                <w:rStyle w:val="Emphasis"/>
              </w:rPr>
              <w:t>Marriage Act 1961</w:t>
            </w:r>
            <w:r w:rsidRPr="00A70EFF">
              <w:t xml:space="preserve"> </w:t>
            </w: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4" w:name="O_277140"/>
      <w:bookmarkEnd w:id="4"/>
      <w:r w:rsidRPr="00A70EFF">
        <w:t>Licensing/Regulator</w:t>
      </w:r>
      <w:r w:rsidRPr="00A70EFF">
        <w:t>y Information</w:t>
      </w:r>
    </w:p>
    <w:p w:rsidR="00000000" w:rsidRPr="00A70EFF" w:rsidP="00A70EFF">
      <w:pPr>
        <w:pStyle w:val="BodyText"/>
      </w:pPr>
      <w:r w:rsidRPr="00A70EFF">
        <w:t>Not Applicable</w:t>
      </w:r>
    </w:p>
    <w:p w:rsidR="00000000" w:rsidRPr="00A70EFF" w:rsidP="00A70EFF">
      <w:pPr>
        <w:pStyle w:val="AllowPageBreak"/>
      </w:pPr>
    </w:p>
    <w:p w:rsidR="00000000" w:rsidRPr="00A70EFF" w:rsidP="00A70EFF">
      <w:pPr>
        <w:pStyle w:val="Heading1"/>
      </w:pPr>
      <w:bookmarkStart w:id="5" w:name="O_195065"/>
      <w:bookmarkEnd w:id="5"/>
      <w:r w:rsidRPr="00A70EF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5"/>
        <w:gridCol w:w="5341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Pre-requisite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>This unit must be assessed after achievement of related unit:</w:t>
            </w:r>
          </w:p>
          <w:p w:rsidR="00000000" w:rsidRPr="00A70EFF" w:rsidP="00A70EFF">
            <w:pPr>
              <w:pStyle w:val="ListBullet"/>
            </w:pPr>
            <w:r w:rsidRPr="00A70EFF">
              <w:t>CHCCEL401A Work effectively in a celebrancy role</w:t>
            </w: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6" w:name="O_195064"/>
      <w:bookmarkEnd w:id="6"/>
      <w:r w:rsidRPr="00A70EF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>This unit contains Employability Skills</w:t>
            </w: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7" w:name="O_286926"/>
      <w:bookmarkEnd w:id="7"/>
      <w:r w:rsidRPr="00A70EF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A70EFF" w:rsidP="00A70EFF">
      <w:pPr>
        <w:pStyle w:val="BodyText"/>
      </w:pPr>
    </w:p>
    <w:p w:rsidR="00000000" w:rsidRPr="00A70EFF" w:rsidP="00A70EFF">
      <w:pPr>
        <w:pStyle w:val="AllowPageBreak"/>
      </w:pPr>
    </w:p>
    <w:p w:rsidR="00000000" w:rsidRPr="00A70EFF" w:rsidP="00A70EFF">
      <w:pPr>
        <w:pStyle w:val="Heading1"/>
      </w:pPr>
      <w:bookmarkStart w:id="8" w:name="O_233593"/>
      <w:bookmarkEnd w:id="8"/>
      <w:r w:rsidRPr="00A70E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PERFORMANCE CRITERIA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List"/>
              <w:rPr>
                <w:lang w:val="en-NZ"/>
              </w:rPr>
            </w:pPr>
            <w:r w:rsidRPr="00A70EFF">
              <w:t>1.</w:t>
            </w:r>
            <w:r w:rsidRPr="00A70EFF">
              <w:tab/>
            </w:r>
            <w:r w:rsidRPr="00A70EFF">
              <w:t>Address legal requirements to work as a marriage celebrant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>1.1</w:t>
            </w:r>
            <w:r w:rsidRPr="00A70EFF">
              <w:tab/>
              <w:t xml:space="preserve">Work with demonstrated accurate knowledge of the </w:t>
            </w:r>
            <w:r w:rsidRPr="00A70EFF">
              <w:rPr>
                <w:rStyle w:val="Emphasis"/>
              </w:rPr>
              <w:t>responsibilities and obligations of a marriage celebrant under the Marriage Act 1961 and Marriage Regulations 1963</w:t>
            </w:r>
          </w:p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t>1.2</w:t>
            </w:r>
            <w:r w:rsidRPr="00A70EFF">
              <w:tab/>
              <w:t>Work with demonstrated ac</w:t>
            </w:r>
            <w:r w:rsidRPr="00A70EFF">
              <w:t xml:space="preserve">curate knowledge of available family relationship services as required under the </w:t>
            </w:r>
            <w:r w:rsidRPr="00A70EFF">
              <w:rPr>
                <w:rStyle w:val="Emphasis"/>
              </w:rPr>
              <w:t>Code of Practice</w:t>
            </w:r>
            <w:r w:rsidRPr="00A70EFF">
              <w:t xml:space="preserve"> for Marriage Celebrants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List"/>
              <w:rPr>
                <w:lang w:val="en-NZ"/>
              </w:rPr>
            </w:pPr>
            <w:r w:rsidRPr="00A70EFF">
              <w:t>2.</w:t>
            </w:r>
            <w:r w:rsidRPr="00A70EFF">
              <w:tab/>
              <w:t xml:space="preserve">Demonstrate understanding of provisions of the </w:t>
            </w:r>
            <w:r w:rsidRPr="00A70EFF">
              <w:rPr>
                <w:rStyle w:val="Emphasis"/>
              </w:rPr>
              <w:t>Marriage Act 1961</w:t>
            </w:r>
            <w:r w:rsidRPr="00A70EFF">
              <w:t xml:space="preserve"> and </w:t>
            </w:r>
            <w:r w:rsidRPr="00A70EFF">
              <w:rPr>
                <w:rStyle w:val="Emphasis"/>
              </w:rPr>
              <w:t>Marriage Regulations 1963</w:t>
            </w:r>
            <w:r w:rsidRPr="00A70EFF">
              <w:t xml:space="preserve"> regarding marriage in Australia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>2.1</w:t>
            </w:r>
            <w:r w:rsidRPr="00A70EFF">
              <w:tab/>
              <w:t xml:space="preserve">Work with demonstrated accurate knowledge of the provisions of the </w:t>
            </w:r>
            <w:r w:rsidRPr="00A70EFF">
              <w:rPr>
                <w:rStyle w:val="Emphasis"/>
              </w:rPr>
              <w:t>Marriage Act</w:t>
            </w:r>
            <w:r w:rsidRPr="00A70EFF">
              <w:t xml:space="preserve"> and </w:t>
            </w:r>
            <w:r w:rsidRPr="00A70EFF">
              <w:rPr>
                <w:rStyle w:val="Emphasis"/>
              </w:rPr>
              <w:t>Marriage Regulations</w:t>
            </w:r>
            <w:r w:rsidRPr="00A70EFF">
              <w:t xml:space="preserve"> that apply to marriage in Australia</w:t>
            </w:r>
          </w:p>
          <w:p w:rsidR="00000000" w:rsidRPr="00A70EFF" w:rsidP="00A70EFF">
            <w:pPr>
              <w:pStyle w:val="BodyText"/>
            </w:pPr>
            <w:r w:rsidRPr="00A70EFF">
              <w:t>2.2</w:t>
            </w:r>
            <w:r w:rsidRPr="00A70EFF">
              <w:tab/>
              <w:t xml:space="preserve">Work with demonstrated accurate knowledge of the </w:t>
            </w:r>
            <w:r w:rsidRPr="00A70EFF">
              <w:rPr>
                <w:rStyle w:val="Emphasis"/>
              </w:rPr>
              <w:t xml:space="preserve">requirements for marriage under the Marriage Act 1961 and </w:t>
            </w:r>
            <w:r w:rsidRPr="00A70EFF">
              <w:rPr>
                <w:rStyle w:val="Emphasis"/>
              </w:rPr>
              <w:t>Marriage Regulations 1963</w:t>
            </w:r>
          </w:p>
          <w:p w:rsidR="00000000" w:rsidRPr="00A70EFF" w:rsidP="00A70EFF">
            <w:pPr>
              <w:pStyle w:val="BodyText"/>
            </w:pPr>
            <w:r w:rsidRPr="00A70EFF">
              <w:t>2.3</w:t>
            </w:r>
            <w:r w:rsidRPr="00A70EFF">
              <w:tab/>
              <w:t>Work with demonstrated accurate knowledge of local relationship support services available to marrying couples</w:t>
            </w:r>
          </w:p>
          <w:p w:rsidR="00000000" w:rsidRPr="00A70EFF" w:rsidP="00A70EFF">
            <w:pPr>
              <w:pStyle w:val="BodyText"/>
            </w:pPr>
            <w:r w:rsidRPr="00A70EFF">
              <w:t>2.4</w:t>
            </w:r>
            <w:r w:rsidRPr="00A70EFF">
              <w:tab/>
              <w:t>Work with a demonstrated accurate knowledge of the documents required for marriage</w:t>
            </w:r>
          </w:p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t>2.5</w:t>
            </w:r>
            <w:r w:rsidRPr="00A70EFF">
              <w:tab/>
              <w:t>Demonstrate understandin</w:t>
            </w:r>
            <w:r w:rsidRPr="00A70EFF">
              <w:t>g of the marriage celebrant's obligation to forward specific documents to the appropriate registering authority to enable the registration of the marriage following the ceremony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9" w:name="O_257543"/>
      <w:bookmarkEnd w:id="9"/>
      <w:r w:rsidRPr="00A70EF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REQUIRED SKILLS AND KNOWLEDGE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t>This describes the essential skills and knowledge and their level required for this unit.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rPr>
                <w:rStyle w:val="Emphasis"/>
              </w:rPr>
              <w:t>Essential knowledge</w:t>
            </w:r>
            <w:r w:rsidRPr="00A70EFF">
              <w:t>:</w:t>
            </w:r>
          </w:p>
          <w:p w:rsidR="00000000" w:rsidRPr="00A70EFF" w:rsidP="00A70EFF">
            <w:pPr>
              <w:pStyle w:val="BodyText"/>
            </w:pPr>
            <w:r w:rsidRPr="00A70EFF">
              <w:t>The candidate must be able to demonstrate essential knowledg</w:t>
            </w:r>
            <w:r w:rsidRPr="00A70EFF">
              <w:t>e required to effectively do the task outlined in elements and performance criteria of this unit, manage the task and manage contingencies in the context of the identified work role</w:t>
            </w:r>
          </w:p>
          <w:p w:rsidR="00000000" w:rsidRPr="00A70EFF" w:rsidP="00A70EFF">
            <w:pPr>
              <w:pStyle w:val="BodyText"/>
            </w:pPr>
            <w:r w:rsidRPr="00A70EFF">
              <w:t>These include knowledge of:</w:t>
            </w:r>
          </w:p>
          <w:p w:rsidR="00000000" w:rsidRPr="00A70EFF" w:rsidP="00A70EFF">
            <w:pPr>
              <w:pStyle w:val="ListBullet"/>
            </w:pPr>
            <w:r w:rsidRPr="00A70EFF">
              <w:rPr>
                <w:rStyle w:val="Emphasis"/>
              </w:rPr>
              <w:t>Marriage Act</w:t>
            </w:r>
            <w:r w:rsidRPr="00A70EFF">
              <w:t>:</w:t>
            </w:r>
          </w:p>
          <w:p w:rsidR="00000000" w:rsidRPr="00A70EFF" w:rsidP="00A70EFF">
            <w:pPr>
              <w:pStyle w:val="ListBullet2"/>
            </w:pPr>
            <w:r w:rsidRPr="00A70EFF">
              <w:t>knowledge of the obligations an</w:t>
            </w:r>
            <w:r w:rsidRPr="00A70EFF">
              <w:t>d responsibilities of a marriage celebrant according to the Marriage Act and Marriage Regulations and Code of Practice</w:t>
            </w:r>
          </w:p>
          <w:p w:rsidR="00000000" w:rsidRPr="00A70EFF" w:rsidP="00A70EFF">
            <w:pPr>
              <w:pStyle w:val="ListBullet2"/>
            </w:pPr>
            <w:r w:rsidRPr="00A70EFF">
              <w:t>knowledge of all documentation which must be sighted before a marriage can take place</w:t>
            </w:r>
          </w:p>
          <w:p w:rsidR="00000000" w:rsidRPr="00A70EFF" w:rsidP="00A70EFF">
            <w:pPr>
              <w:pStyle w:val="ListBullet2"/>
            </w:pPr>
            <w:r w:rsidRPr="00A70EFF">
              <w:t>knowledge of offences under the Marriage Act</w:t>
            </w:r>
          </w:p>
          <w:p w:rsidR="00000000" w:rsidRPr="00A70EFF" w:rsidP="00A70EFF">
            <w:pPr>
              <w:pStyle w:val="ListBullet"/>
            </w:pPr>
            <w:r w:rsidRPr="00A70EFF">
              <w:t>Other Legislation</w:t>
            </w:r>
          </w:p>
          <w:p w:rsidR="00000000" w:rsidRPr="00A70EFF" w:rsidP="00A70EFF">
            <w:pPr>
              <w:pStyle w:val="ListBullet2"/>
            </w:pPr>
            <w:r w:rsidRPr="00A70EFF">
              <w:t>general knowledge of aspects of Commonwealth Migration, Privacy, Trade Practices, Commonwealth Statutory Declarations and Copyright Acts relevant to performing the role of a marriage celebrant</w:t>
            </w:r>
          </w:p>
          <w:p w:rsidR="00000000" w:rsidRPr="00A70EFF" w:rsidP="00A70EFF">
            <w:pPr>
              <w:pStyle w:val="ListBullet2"/>
            </w:pPr>
            <w:r w:rsidRPr="00A70EFF">
              <w:t>awareness of Commonwealth discrimination law</w:t>
            </w:r>
            <w:r w:rsidRPr="00A70EFF">
              <w:t>s as well as those in each state and territory</w:t>
            </w:r>
          </w:p>
          <w:p w:rsidR="00000000" w:rsidRPr="00A70EFF" w:rsidP="00A70EFF">
            <w:pPr>
              <w:pStyle w:val="ListBullet2"/>
            </w:pPr>
            <w:r w:rsidRPr="00A70EFF">
              <w:t>knowledge of the processes and procedures of State/territory Registrars of Births, Deaths and Marriages</w:t>
            </w:r>
          </w:p>
          <w:p w:rsidR="00000000" w:rsidRPr="00A70EFF" w:rsidP="00A70EFF">
            <w:pPr>
              <w:pStyle w:val="ListBullet"/>
            </w:pPr>
            <w:r w:rsidRPr="00A70EFF">
              <w:rPr>
                <w:rStyle w:val="Emphasis"/>
              </w:rPr>
              <w:t>Statutory Declarations Act 1959</w:t>
            </w:r>
            <w:r w:rsidRPr="00A70EFF">
              <w:t xml:space="preserve"> (</w:t>
            </w:r>
            <w:r w:rsidRPr="00A70EFF">
              <w:rPr>
                <w:rStyle w:val="Emphasis"/>
              </w:rPr>
              <w:t>Cwlth</w:t>
            </w:r>
            <w:r w:rsidRPr="00A70EFF">
              <w:t>):</w:t>
            </w:r>
          </w:p>
          <w:p w:rsidR="00000000" w:rsidRPr="00A70EFF" w:rsidP="00A70EFF">
            <w:pPr>
              <w:pStyle w:val="ListBullet2"/>
            </w:pPr>
            <w:r w:rsidRPr="00A70EFF">
              <w:t>detailed knowledge of responsibilities in accepting a Commonwea</w:t>
            </w:r>
            <w:r w:rsidRPr="00A70EFF">
              <w:t>lth Statutory Declaration</w:t>
            </w:r>
          </w:p>
          <w:p w:rsidR="00000000" w:rsidRPr="00A70EFF" w:rsidP="00A70EFF">
            <w:pPr>
              <w:pStyle w:val="ListBullet"/>
            </w:pPr>
            <w:r w:rsidRPr="00A70EFF">
              <w:rPr>
                <w:rStyle w:val="Emphasis"/>
              </w:rPr>
              <w:t>Migration Act 1958</w:t>
            </w:r>
            <w:r w:rsidRPr="00A70EFF">
              <w:t>:</w:t>
            </w:r>
          </w:p>
          <w:p w:rsidR="00000000" w:rsidRPr="00A70EFF" w:rsidP="00A70EFF">
            <w:pPr>
              <w:pStyle w:val="ListBullet2"/>
            </w:pPr>
            <w:r w:rsidRPr="00A70EFF">
              <w:t>broad understanding of immigration laws and the issues that may arise for parties who do not have permanent residency status and wish to marry</w:t>
            </w:r>
          </w:p>
          <w:p w:rsidR="00000000" w:rsidRPr="00A70EFF" w:rsidP="00A70EFF">
            <w:pPr>
              <w:pStyle w:val="ListBullet2"/>
            </w:pPr>
            <w:r w:rsidRPr="00A70EFF">
              <w:t>awareness that marriage does not automatically give permanent resi</w:t>
            </w:r>
            <w:r w:rsidRPr="00A70EFF">
              <w:t>dency</w:t>
            </w:r>
          </w:p>
          <w:p w:rsidR="00000000" w:rsidRPr="00A70EFF" w:rsidP="00A70EFF">
            <w:pPr>
              <w:pStyle w:val="ListBullet"/>
            </w:pPr>
            <w:r w:rsidRPr="00A70EFF">
              <w:rPr>
                <w:rStyle w:val="Emphasis"/>
              </w:rPr>
              <w:t>Copyright Act 1968</w:t>
            </w:r>
            <w:r w:rsidRPr="00A70EFF">
              <w:t xml:space="preserve"> especially applicability of the use of material in ceremonies</w:t>
            </w:r>
          </w:p>
          <w:p w:rsidR="00000000" w:rsidRPr="00A70EFF" w:rsidP="00A70EFF">
            <w:pPr>
              <w:pStyle w:val="ListBullet"/>
            </w:pPr>
            <w:r w:rsidRPr="00A70EFF">
              <w:rPr>
                <w:rStyle w:val="Emphasis"/>
              </w:rPr>
              <w:t>Privacy Act 1988</w:t>
            </w:r>
          </w:p>
          <w:p w:rsidR="00000000" w:rsidRPr="00A70EFF" w:rsidP="00A70EFF">
            <w:pPr>
              <w:pStyle w:val="ListBullet2"/>
            </w:pPr>
            <w:r w:rsidRPr="00A70EFF">
              <w:t>understanding that celebrants have an obligation to protect privacy and maintain confidentiality</w:t>
            </w:r>
          </w:p>
          <w:p w:rsidR="00000000" w:rsidRPr="00A70EFF" w:rsidP="00A70EFF">
            <w:pPr>
              <w:pStyle w:val="ListBullet"/>
            </w:pPr>
            <w:r w:rsidRPr="00A70EFF">
              <w:rPr>
                <w:rStyle w:val="Emphasis"/>
              </w:rPr>
              <w:t>Trade Practices Act 1974</w:t>
            </w:r>
          </w:p>
          <w:p w:rsidR="00000000" w:rsidRPr="00A70EFF" w:rsidP="00A70EFF">
            <w:pPr>
              <w:pStyle w:val="ListBullet2"/>
            </w:pPr>
            <w:r w:rsidRPr="00A70EFF">
              <w:t>understanding of obligations</w:t>
            </w:r>
            <w:r w:rsidRPr="00A70EFF">
              <w:t xml:space="preserve"> relevant to operating as a marriage celebrant within the Trade Practices Act; and</w:t>
            </w:r>
          </w:p>
          <w:p w:rsidR="00000000" w:rsidRPr="00A70EFF" w:rsidP="00A70EFF">
            <w:pPr>
              <w:pStyle w:val="ListBullet2"/>
            </w:pPr>
            <w:r w:rsidRPr="00A70EFF">
              <w:t>knowledge of where to locate relevant information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Marriage/relationship education services - knowledge of pre-marriage and other relationship education services 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Knowledge o</w:t>
            </w:r>
            <w:r w:rsidRPr="00A70EFF">
              <w:t>f sources of legal and practical information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rPr>
                <w:rStyle w:val="Emphasis"/>
              </w:rPr>
              <w:t>Essential skills</w:t>
            </w:r>
            <w:r w:rsidRPr="00A70EFF">
              <w:t>:</w:t>
            </w:r>
          </w:p>
          <w:p w:rsidR="00000000" w:rsidRPr="00A70EFF" w:rsidP="00A70EFF">
            <w:pPr>
              <w:pStyle w:val="BodyText"/>
            </w:pPr>
            <w:r w:rsidRPr="00A70EFF">
              <w:t>It is critical that the candidate demonstrate the ability to: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Comply with all obligations and responsibilities under the Marriage Act </w:t>
            </w:r>
          </w:p>
          <w:p w:rsidR="00000000" w:rsidRPr="00A70EFF" w:rsidP="00A70EFF">
            <w:pPr>
              <w:pStyle w:val="ListBullet"/>
            </w:pPr>
            <w:r w:rsidRPr="00A70EFF">
              <w:t>Adhere to all required legislation</w:t>
            </w:r>
          </w:p>
          <w:p w:rsidR="00000000" w:rsidRPr="00A70EFF" w:rsidP="00A70EFF">
            <w:pPr>
              <w:pStyle w:val="ListBullet"/>
            </w:pPr>
            <w:r w:rsidRPr="00A70EFF">
              <w:t>Provide information about the availability of relationship education services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Explain the key features of the </w:t>
            </w:r>
            <w:r w:rsidRPr="00A70EFF">
              <w:rPr>
                <w:rStyle w:val="Emphasis"/>
              </w:rPr>
              <w:t>Marriage Act 1961</w:t>
            </w:r>
          </w:p>
          <w:p w:rsidR="00000000" w:rsidRPr="00A70EFF" w:rsidP="00A70EFF">
            <w:pPr>
              <w:pStyle w:val="ListBullet"/>
            </w:pPr>
            <w:r w:rsidRPr="00A70EFF">
              <w:t>Accurately complete essential legal documents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Locate the relevant information for other state/territory legislation as required </w:t>
            </w:r>
            <w:r w:rsidRPr="00A70EFF">
              <w:t>(such as local government parks and gardens, State and Territory registering authorities)</w:t>
            </w:r>
          </w:p>
          <w:p w:rsidR="00000000" w:rsidRPr="00A70EFF" w:rsidP="00A70EFF">
            <w:pPr>
              <w:pStyle w:val="BodyText"/>
            </w:pPr>
          </w:p>
          <w:p w:rsidR="00000000" w:rsidRPr="00A70EFF" w:rsidP="00A70EFF">
            <w:pPr>
              <w:pStyle w:val="BodyText"/>
            </w:pPr>
            <w:r w:rsidRPr="00A70EFF">
              <w:t>In addition, the candidate must be able to effectively do the task outlined in elements and performance criteria of this unit, manage the task and manage contingenci</w:t>
            </w:r>
            <w:r w:rsidRPr="00A70EFF">
              <w:t>es in the context of the identified work role</w:t>
            </w:r>
          </w:p>
          <w:p w:rsidR="00000000" w:rsidRPr="00A70EFF" w:rsidP="00A70EFF">
            <w:pPr>
              <w:pStyle w:val="BodyText"/>
            </w:pPr>
            <w:r w:rsidRPr="00A70EFF">
              <w:t>These include the ability to:</w:t>
            </w:r>
          </w:p>
          <w:p w:rsidR="00000000" w:rsidRPr="00A70EFF" w:rsidP="00A70EFF">
            <w:pPr>
              <w:pStyle w:val="ListBullet"/>
            </w:pPr>
            <w:r w:rsidRPr="00A70EFF">
              <w:t>Refer persons to appropriate authority for further information</w:t>
            </w:r>
          </w:p>
          <w:p w:rsidR="00000000" w:rsidRPr="00A70EFF" w:rsidP="00A70EFF">
            <w:pPr>
              <w:pStyle w:val="ListBullet"/>
            </w:pPr>
            <w:r w:rsidRPr="00A70EFF">
              <w:t>Provide ceremony resources that are varied, presentable and well maintained</w:t>
            </w:r>
          </w:p>
          <w:p w:rsidR="00000000" w:rsidRPr="00A70EFF" w:rsidP="00A70EFF">
            <w:pPr>
              <w:pStyle w:val="ListBullet"/>
            </w:pPr>
            <w:r w:rsidRPr="00A70EFF">
              <w:t>Demonstrate language and literacy compete</w:t>
            </w:r>
            <w:r w:rsidRPr="00A70EFF">
              <w:t>nce, including:</w:t>
            </w:r>
          </w:p>
          <w:p w:rsidR="00000000" w:rsidRPr="00A70EFF" w:rsidP="00A70EFF">
            <w:pPr>
              <w:pStyle w:val="ListBullet2"/>
            </w:pPr>
            <w:r w:rsidRPr="00A70EFF">
              <w:t>literacy competence to satisfactorily fulfil the role of a marriage celebrant including the ability to interpret legal requirements and Commonwealth policies and procedures</w:t>
            </w:r>
          </w:p>
          <w:p w:rsidR="00000000" w:rsidP="00A70EFF">
            <w:pPr>
              <w:pStyle w:val="ListBullet2"/>
              <w:rPr>
                <w:lang w:val="en-NZ"/>
              </w:rPr>
            </w:pPr>
            <w:r w:rsidRPr="00A70EFF">
              <w:t>language competence to convey legal requirements to marrying couples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10" w:name="O_241577"/>
      <w:bookmarkEnd w:id="10"/>
      <w:r w:rsidRPr="00A70EF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EVIDENCE GUIDE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t>The evidence guide provides advice on assessment and must be read in conjunction with the Performance Criteria, Required Skills a</w:t>
            </w:r>
            <w:r w:rsidRPr="00A70EFF">
              <w:t>nd Knowledge, the Range Statement and the Assessment Guidelines for this Training Package.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Critical aspects for assessment and evidence required to demonstrate this unit of competency</w:t>
            </w:r>
            <w:r w:rsidRPr="00A70EFF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 xml:space="preserve">The individual being assessed must provide evidence of specified </w:t>
            </w:r>
            <w:r w:rsidRPr="00A70EFF">
              <w:t>essential knowledge as well as skills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The individual being assessed must demonstrate a </w:t>
            </w:r>
            <w:r w:rsidRPr="00A70EFF">
              <w:rPr>
                <w:rStyle w:val="Underline"/>
              </w:rPr>
              <w:t>thorough</w:t>
            </w:r>
            <w:r w:rsidRPr="00A70EFF">
              <w:t xml:space="preserve"> and </w:t>
            </w:r>
            <w:r w:rsidRPr="00A70EFF">
              <w:rPr>
                <w:rStyle w:val="Underline"/>
              </w:rPr>
              <w:t>accurate</w:t>
            </w:r>
            <w:r w:rsidRPr="00A70EFF">
              <w:t xml:space="preserve"> understanding of the legal requirements for marriage [Note: minimal competence is not adequate as the consequences for couples of the celebrant </w:t>
            </w:r>
            <w:r w:rsidRPr="00A70EFF">
              <w:t>making errors are serious]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The individual being assessed must demonstrate their ability to transcribe accurately names and other personal details (both electronically and by hand) to a range of marriage forms and certificates </w:t>
            </w:r>
            <w:r w:rsidRPr="00A70EFF">
              <w:br/>
              <w:t>[Note: total accuracy is requ</w:t>
            </w:r>
            <w:r w:rsidRPr="00A70EFF">
              <w:t>ired as marrying couples have to pay registering authorities to have celebrants' errors corrected]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A diversity of assessment tasks is essential for holistic assessment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Access and equity considerations</w:t>
            </w:r>
            <w:r w:rsidRPr="00A70EF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>All workers in community services should be aware of access, equity and human rights issues in relation to their own area of work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All workers should develop their ability to work in a culturally diverse environment </w:t>
            </w:r>
          </w:p>
          <w:p w:rsidR="00000000" w:rsidRPr="00A70EFF" w:rsidP="00A70EFF">
            <w:pPr>
              <w:pStyle w:val="ListBullet"/>
            </w:pPr>
            <w:r w:rsidRPr="00A70EFF">
              <w:t>In recognition of particular issues faci</w:t>
            </w:r>
            <w:r w:rsidRPr="00A70EFF">
              <w:t>ng Aboriginal and Torres Strait Islander communities, workers should be aware of cultural, historical and current issues impacting on Aboriginal and Torres Strait Islander people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Assessors and trainers must take into account relevant access and equity issu</w:t>
            </w:r>
            <w:r w:rsidRPr="00A70EFF">
              <w:t>es, in particular relating to factors impacting on Aboriginal and/or Torres Strait Islander clients and communities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Context of and specific resources for assessment</w:t>
            </w:r>
            <w:r w:rsidRPr="00A70EFF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>This unit must be assessed independently.</w:t>
            </w:r>
          </w:p>
          <w:p w:rsidR="00000000" w:rsidRPr="00A70EFF" w:rsidP="00A70EFF">
            <w:pPr>
              <w:pStyle w:val="ListBullet"/>
            </w:pPr>
            <w:r w:rsidRPr="00A70EFF">
              <w:t>Resources required for assessment of this u</w:t>
            </w:r>
            <w:r w:rsidRPr="00A70EFF">
              <w:t>nit include access to:</w:t>
            </w:r>
          </w:p>
          <w:p w:rsidR="00000000" w:rsidRPr="00A70EFF" w:rsidP="00A70EFF">
            <w:pPr>
              <w:pStyle w:val="ListBullet2"/>
            </w:pPr>
            <w:r w:rsidRPr="00A70EFF">
              <w:t>relevant or appropriately simulated environment where assessment can take place</w:t>
            </w:r>
          </w:p>
          <w:p w:rsidR="00000000" w:rsidP="00A70EFF">
            <w:pPr>
              <w:pStyle w:val="ListBullet2"/>
              <w:rPr>
                <w:lang w:val="en-NZ"/>
              </w:rPr>
            </w:pPr>
            <w:r w:rsidRPr="00A70EFF">
              <w:t>relevant legislation, guidelines, Code of Practice, and range of required documentation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Method of assessment</w:t>
            </w:r>
            <w:r w:rsidRPr="00A70EF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>The individual being assessed must provide written evidence of specified essential knowledge as well as skills</w:t>
            </w:r>
          </w:p>
          <w:p w:rsidR="00000000" w:rsidRPr="00A70EFF" w:rsidP="00A70EFF">
            <w:pPr>
              <w:pStyle w:val="ListBullet"/>
            </w:pPr>
            <w:r w:rsidRPr="00A70EFF">
              <w:t>In establishing that competency has been achieved in this unit, written assessment must include a variety of circumstances and scenarios to ensur</w:t>
            </w:r>
            <w:r w:rsidRPr="00A70EFF">
              <w:t xml:space="preserve">e that the student can apply the legal requirements to a variety of practical circumstances </w:t>
            </w:r>
          </w:p>
          <w:p w:rsidR="00000000" w:rsidRPr="00A70EFF" w:rsidP="00A70EFF">
            <w:pPr>
              <w:pStyle w:val="ListBullet"/>
            </w:pPr>
            <w:r w:rsidRPr="00A70EFF">
              <w:t>Evidence during process for assessment of accurate completion of required documentation prior to ceremony and correct finalising of documents for forwarding to Reg</w:t>
            </w:r>
            <w:r w:rsidRPr="00A70EFF">
              <w:t>istry Office following ceremony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Evidence of knowledge of all elements of Code of Practice and Marriage Act and its Regulations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11" w:name="O_249560"/>
      <w:bookmarkEnd w:id="11"/>
      <w:r w:rsidRPr="00A70EF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SpecialBold"/>
              </w:rPr>
              <w:t>RANGE STATEMENT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t xml:space="preserve">The Range Statement relates to the unit of competency as a whole. It allows for different work environments and situations that may affect performance. </w:t>
            </w:r>
          </w:p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t xml:space="preserve">Please note: There are no local or contextual variations for this unit.  The following points apply in </w:t>
            </w:r>
            <w:r w:rsidRPr="00A70EFF">
              <w:t>ALL contexts.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rPr>
                <w:rStyle w:val="Emphasis"/>
              </w:rPr>
              <w:t>Responsibilities and obligations of a marriage celebrant under the Marriage Act 1961 and Marriage Regulations 1963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  <w:r w:rsidRPr="00A70EFF">
              <w:rPr>
                <w:rStyle w:val="Emphasis"/>
              </w:rPr>
              <w:t>Marriage Act 1961</w:t>
            </w:r>
            <w:r w:rsidRPr="00A70EFF">
              <w:t>:</w:t>
            </w:r>
          </w:p>
          <w:p w:rsidR="00000000" w:rsidRPr="00A70EFF" w:rsidP="00A70EFF">
            <w:pPr>
              <w:pStyle w:val="ListBullet"/>
            </w:pPr>
            <w:r w:rsidRPr="00A70EFF">
              <w:t>Categories of marriage celebrant</w:t>
            </w:r>
          </w:p>
          <w:p w:rsidR="00000000" w:rsidRPr="00A70EFF" w:rsidP="00A70EFF">
            <w:pPr>
              <w:pStyle w:val="ListBullet"/>
            </w:pPr>
            <w:r w:rsidRPr="00A70EFF">
              <w:t>Register of marriage celebrants</w:t>
            </w:r>
          </w:p>
          <w:p w:rsidR="00000000" w:rsidRPr="00A70EFF" w:rsidP="00A70EFF">
            <w:pPr>
              <w:pStyle w:val="ListBullet"/>
            </w:pPr>
            <w:r w:rsidRPr="00A70EFF">
              <w:t>Requirements for registration, includi</w:t>
            </w:r>
            <w:r w:rsidRPr="00A70EFF">
              <w:t>ng the fit and proper person test</w:t>
            </w:r>
          </w:p>
          <w:p w:rsidR="00000000" w:rsidRPr="00A70EFF" w:rsidP="00A70EFF">
            <w:pPr>
              <w:pStyle w:val="ListBullet"/>
            </w:pPr>
            <w:r w:rsidRPr="00A70EFF">
              <w:t>Criteria for fit and proper person test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Process of consideration of applications and registration </w:t>
            </w:r>
          </w:p>
          <w:p w:rsidR="00000000" w:rsidRPr="00A70EFF" w:rsidP="00A70EFF">
            <w:pPr>
              <w:pStyle w:val="ListBullet"/>
            </w:pPr>
            <w:r w:rsidRPr="00A70EFF">
              <w:t>Obligations of marriage celebrants</w:t>
            </w:r>
          </w:p>
          <w:p w:rsidR="00000000" w:rsidRPr="00A70EFF" w:rsidP="00A70EFF">
            <w:pPr>
              <w:pStyle w:val="ListBullet"/>
            </w:pPr>
            <w:r w:rsidRPr="00A70EFF">
              <w:t>Ongoing professional development</w:t>
            </w:r>
          </w:p>
          <w:p w:rsidR="00000000" w:rsidRPr="00A70EFF" w:rsidP="00A70EFF">
            <w:pPr>
              <w:pStyle w:val="ListBullet"/>
            </w:pPr>
            <w:r w:rsidRPr="00A70EFF">
              <w:t>Performance reviews</w:t>
            </w:r>
          </w:p>
          <w:p w:rsidR="00000000" w:rsidRPr="00A70EFF" w:rsidP="00A70EFF">
            <w:pPr>
              <w:pStyle w:val="ListBullet"/>
            </w:pPr>
            <w:r w:rsidRPr="00A70EFF">
              <w:t>Circumstances in which disciplinary measures can be taken against a marriage celebrant</w:t>
            </w:r>
          </w:p>
          <w:p w:rsidR="00000000" w:rsidRPr="00A70EFF" w:rsidP="00A70EFF">
            <w:pPr>
              <w:pStyle w:val="ListBullet"/>
            </w:pPr>
            <w:r w:rsidRPr="00A70EFF">
              <w:t>Disciplinary measures that may be taken against a marriage celebrant</w:t>
            </w:r>
          </w:p>
          <w:p w:rsidR="00000000" w:rsidRPr="00A70EFF" w:rsidP="00A70EFF">
            <w:pPr>
              <w:pStyle w:val="ListBullet"/>
            </w:pPr>
            <w:r w:rsidRPr="00A70EFF">
              <w:t>Review of decisions of the Registrar of Marriage Celebrants</w:t>
            </w:r>
          </w:p>
          <w:p w:rsidR="00000000" w:rsidRPr="00A70EFF" w:rsidP="00A70EFF">
            <w:pPr>
              <w:pStyle w:val="ListBullet"/>
            </w:pPr>
            <w:r w:rsidRPr="00A70EFF">
              <w:t>Complaints against marriage celebrants</w:t>
            </w:r>
          </w:p>
          <w:p w:rsidR="00000000" w:rsidRPr="00A70EFF" w:rsidP="00A70EFF">
            <w:pPr>
              <w:pStyle w:val="BodyText"/>
            </w:pPr>
            <w:r w:rsidRPr="00A70EFF">
              <w:rPr>
                <w:rStyle w:val="Emphasis"/>
              </w:rPr>
              <w:t>M</w:t>
            </w:r>
            <w:r w:rsidRPr="00A70EFF">
              <w:rPr>
                <w:rStyle w:val="Emphasis"/>
              </w:rPr>
              <w:t>arriage Regulations 1963</w:t>
            </w:r>
            <w:r w:rsidRPr="00A70EFF">
              <w:t>:</w:t>
            </w:r>
          </w:p>
          <w:p w:rsidR="00000000" w:rsidRPr="00A70EFF" w:rsidP="00A70EFF">
            <w:pPr>
              <w:pStyle w:val="ListBullet"/>
            </w:pPr>
            <w:r w:rsidRPr="00A70EFF">
              <w:t>Qualifications and skills required by applicants</w:t>
            </w:r>
          </w:p>
          <w:p w:rsidR="00000000" w:rsidRPr="00A70EFF" w:rsidP="00A70EFF">
            <w:pPr>
              <w:pStyle w:val="ListBullet"/>
            </w:pPr>
            <w:r w:rsidRPr="00A70EFF">
              <w:t>The application form and documents of notification</w:t>
            </w:r>
          </w:p>
          <w:p w:rsidR="00000000" w:rsidRPr="00A70EFF" w:rsidP="00A70EFF">
            <w:pPr>
              <w:pStyle w:val="ListBullet"/>
            </w:pPr>
            <w:r w:rsidRPr="00A70EFF">
              <w:t>Requirements for ongoing professional development for marriage celebrants</w:t>
            </w:r>
          </w:p>
          <w:p w:rsidR="00000000" w:rsidRPr="00A70EFF" w:rsidP="00A70EFF">
            <w:pPr>
              <w:pStyle w:val="ListBullet"/>
            </w:pPr>
            <w:r w:rsidRPr="00A70EFF">
              <w:t>Matters the Registrar of Marriage Celebrants must take i</w:t>
            </w:r>
            <w:r w:rsidRPr="00A70EFF">
              <w:t>nto account in conducting a performance review</w:t>
            </w:r>
          </w:p>
          <w:p w:rsidR="00000000" w:rsidRPr="00A70EFF" w:rsidP="00A70EFF">
            <w:pPr>
              <w:pStyle w:val="ListBullet"/>
            </w:pPr>
            <w:r w:rsidRPr="00A70EFF">
              <w:t>The operation of the complaints process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The Code of Practice for Marriage Celebrants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Requirements for marriage under the Marriage Act 1961 include</w:t>
            </w:r>
            <w:r w:rsidRPr="00A70EF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>What marriage is under Australian law</w:t>
            </w:r>
          </w:p>
          <w:p w:rsidR="00000000" w:rsidRPr="00A70EFF" w:rsidP="00A70EFF">
            <w:pPr>
              <w:pStyle w:val="ListBullet"/>
            </w:pPr>
            <w:r w:rsidRPr="00A70EFF">
              <w:t>Who may marry</w:t>
            </w:r>
          </w:p>
          <w:p w:rsidR="00000000" w:rsidRPr="00A70EFF" w:rsidP="00A70EFF">
            <w:pPr>
              <w:pStyle w:val="ListBullet"/>
            </w:pPr>
            <w:r w:rsidRPr="00A70EFF">
              <w:t>Requirements for a valid marriage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Instances in which marriage may not take place </w:t>
            </w:r>
            <w:r w:rsidRPr="00A70EFF">
              <w:br/>
              <w:t>e.g. surprise marriages, prohibited relationships, no evidence of termination of previous marriage, party under the minimum age for marriage</w:t>
            </w:r>
          </w:p>
          <w:p w:rsidR="00000000" w:rsidRPr="00A70EFF" w:rsidP="00A70EFF">
            <w:pPr>
              <w:pStyle w:val="ListBullet"/>
            </w:pPr>
            <w:r w:rsidRPr="00A70EFF">
              <w:t>Requirements in the case of marri</w:t>
            </w:r>
            <w:r w:rsidRPr="00A70EFF">
              <w:t>ages in which one party is aged between 16 and 18</w:t>
            </w:r>
          </w:p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continued</w:t>
            </w:r>
            <w:r w:rsidRPr="00A70EFF">
              <w:t xml:space="preserve"> ...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Requirements for marriage under the Marriage Act 1961</w:t>
            </w:r>
            <w:r w:rsidRPr="00A70EFF">
              <w:t xml:space="preserve"> (</w:t>
            </w:r>
            <w:r w:rsidRPr="00A70EFF">
              <w:rPr>
                <w:rStyle w:val="Emphasis"/>
              </w:rPr>
              <w:t>contd</w:t>
            </w:r>
            <w:r w:rsidRPr="00A70EFF">
              <w:t>):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>When and where marriages may take place</w:t>
            </w:r>
          </w:p>
          <w:p w:rsidR="00000000" w:rsidRPr="00A70EFF" w:rsidP="00A70EFF">
            <w:pPr>
              <w:pStyle w:val="ListBullet"/>
            </w:pPr>
            <w:r w:rsidRPr="00A70EFF">
              <w:t>Correct completion of the Notice of Intended Marriage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Recording of names on marriage </w:t>
            </w:r>
            <w:r w:rsidRPr="00A70EFF">
              <w:t xml:space="preserve">documents </w:t>
            </w:r>
          </w:p>
          <w:p w:rsidR="00000000" w:rsidRPr="00A70EFF" w:rsidP="00A70EFF">
            <w:pPr>
              <w:pStyle w:val="ListBullet"/>
            </w:pPr>
            <w:r w:rsidRPr="00A70EFF">
              <w:t>Witnessing of signatures on the Notice of Intended Marriage - when signed in Australia and when signed overseas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Evidence of the date and place of birth of parties to a proposed marriage (evidence required when parties born in Australia and born </w:t>
            </w:r>
            <w:r w:rsidRPr="00A70EFF">
              <w:t>overseas)</w:t>
            </w:r>
          </w:p>
          <w:p w:rsidR="00000000" w:rsidRPr="00A70EFF" w:rsidP="00A70EFF">
            <w:pPr>
              <w:pStyle w:val="ListBullet"/>
            </w:pPr>
            <w:r w:rsidRPr="00A70EFF">
              <w:t>Evidence of the end of a previous marriage of a party to a proposed marriage (evidence required for previous marriages conducted in Australia and overseas)</w:t>
            </w:r>
          </w:p>
          <w:p w:rsidR="00000000" w:rsidRPr="00A70EFF" w:rsidP="00A70EFF">
            <w:pPr>
              <w:pStyle w:val="ListBullet"/>
            </w:pPr>
            <w:r w:rsidRPr="00A70EFF">
              <w:t>Evidence of the identity of parties to a proposed marriage</w:t>
            </w:r>
          </w:p>
          <w:p w:rsidR="00000000" w:rsidRPr="00A70EFF" w:rsidP="00A70EFF">
            <w:pPr>
              <w:pStyle w:val="ListBullet"/>
            </w:pPr>
            <w:r w:rsidRPr="00A70EFF">
              <w:t>Completion of declarations of c</w:t>
            </w:r>
            <w:r w:rsidRPr="00A70EFF">
              <w:t>apacity to marry</w:t>
            </w:r>
          </w:p>
          <w:p w:rsidR="00000000" w:rsidRPr="00A70EFF" w:rsidP="00A70EFF">
            <w:pPr>
              <w:pStyle w:val="ListBullet"/>
            </w:pPr>
            <w:r w:rsidRPr="00A70EFF">
              <w:t>Documents required to be given to marrying couples</w:t>
            </w:r>
          </w:p>
          <w:p w:rsidR="00000000" w:rsidRPr="00A70EFF" w:rsidP="00A70EFF">
            <w:pPr>
              <w:pStyle w:val="ListBullet"/>
            </w:pPr>
            <w:r w:rsidRPr="00A70EFF">
              <w:t>Completion of Form 16 and Form 15 marriage certificates and Form 14 declarations</w:t>
            </w:r>
          </w:p>
          <w:p w:rsidR="00000000" w:rsidRPr="00A70EFF" w:rsidP="00A70EFF">
            <w:pPr>
              <w:pStyle w:val="ListBullet"/>
            </w:pPr>
            <w:r w:rsidRPr="00A70EFF">
              <w:t>Record-keeping requirements for the Form 15 marriage certificate</w:t>
            </w:r>
          </w:p>
          <w:p w:rsidR="00000000" w:rsidRPr="00A70EFF" w:rsidP="00A70EFF">
            <w:pPr>
              <w:pStyle w:val="ListBullet"/>
            </w:pPr>
            <w:r w:rsidRPr="00A70EFF">
              <w:t>Use of interpreters</w:t>
            </w:r>
          </w:p>
          <w:p w:rsidR="00000000" w:rsidRPr="00A70EFF" w:rsidP="00A70EFF">
            <w:pPr>
              <w:pStyle w:val="ListBullet"/>
            </w:pPr>
            <w:r w:rsidRPr="00A70EFF">
              <w:t>Requirements relating to Commonwealth statutory declarations</w:t>
            </w:r>
          </w:p>
          <w:p w:rsidR="00000000" w:rsidRPr="00A70EFF" w:rsidP="00A70EFF">
            <w:pPr>
              <w:pStyle w:val="ListBullet"/>
            </w:pPr>
            <w:r w:rsidRPr="00A70EFF">
              <w:t>Requirements for those coming to Australia from overseas to marry</w:t>
            </w:r>
          </w:p>
          <w:p w:rsidR="00000000" w:rsidRPr="00A70EFF" w:rsidP="00A70EFF">
            <w:pPr>
              <w:pStyle w:val="ListBullet"/>
            </w:pPr>
            <w:r w:rsidRPr="00A70EFF">
              <w:t xml:space="preserve">Shortening of time for notice of an intended marriage </w:t>
            </w:r>
          </w:p>
          <w:p w:rsidR="00000000" w:rsidRPr="00A70EFF" w:rsidP="00A70EFF">
            <w:pPr>
              <w:pStyle w:val="ListBullet"/>
            </w:pPr>
            <w:r w:rsidRPr="00A70EFF">
              <w:t>Requirements for witnesses to the marriage</w:t>
            </w:r>
          </w:p>
          <w:p w:rsidR="00000000" w:rsidRPr="00A70EFF" w:rsidP="00A70EFF">
            <w:pPr>
              <w:pStyle w:val="ListBullet"/>
            </w:pPr>
            <w:r w:rsidRPr="00A70EFF">
              <w:t>Offences under the Marriage Act</w:t>
            </w:r>
            <w:r w:rsidRPr="00A70EFF">
              <w:t xml:space="preserve"> </w:t>
            </w:r>
          </w:p>
          <w:p w:rsidR="00000000" w:rsidRPr="00A70EFF" w:rsidP="00A70EFF">
            <w:pPr>
              <w:pStyle w:val="ListBullet"/>
            </w:pPr>
            <w:r w:rsidRPr="00A70EFF">
              <w:t>Legal content required in a marriage ceremony</w:t>
            </w:r>
          </w:p>
          <w:p w:rsidR="00000000" w:rsidRPr="00A70EFF" w:rsidP="00A70EFF">
            <w:pPr>
              <w:pStyle w:val="ListBullet"/>
            </w:pPr>
            <w:r w:rsidRPr="00A70EFF">
              <w:t>The legal differences between a religious and a non-religious (or civil) marriage ceremony</w:t>
            </w:r>
          </w:p>
          <w:p w:rsidR="00000000" w:rsidRPr="00A70EFF" w:rsidP="00A70EFF">
            <w:pPr>
              <w:pStyle w:val="ListBullet"/>
            </w:pPr>
            <w:r w:rsidRPr="00A70EFF">
              <w:t>The legal differences between requirements for ministers of religion and those marriage celebrants who are not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Requir</w:t>
            </w:r>
            <w:r w:rsidRPr="00A70EFF">
              <w:t>ement to forward specific documents to the registering authority within 14 days of the ceremony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Requirements for marriage under the Marriage Regulations 1963 include</w:t>
            </w:r>
            <w:r w:rsidRPr="00A70EF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 xml:space="preserve">Circumstances for shortening of the notice time for an intended marriage </w:t>
            </w:r>
          </w:p>
          <w:p w:rsidR="00000000" w:rsidRPr="00A70EFF" w:rsidP="00A70EFF">
            <w:pPr>
              <w:pStyle w:val="ListBullet"/>
            </w:pPr>
            <w:r w:rsidRPr="00A70EFF">
              <w:t>Required forms</w:t>
            </w:r>
          </w:p>
          <w:p w:rsidR="00000000" w:rsidP="00A70EFF">
            <w:pPr>
              <w:pStyle w:val="ListBullet"/>
              <w:rPr>
                <w:lang w:val="en-NZ"/>
              </w:rPr>
            </w:pPr>
            <w:r w:rsidRPr="00A70EFF">
              <w:t>Completion and retention of forms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EFF">
            <w:pPr>
              <w:pStyle w:val="BodyText"/>
              <w:rPr>
                <w:lang w:val="en-NZ"/>
              </w:rPr>
            </w:pPr>
            <w:r w:rsidRPr="00A70EFF">
              <w:rPr>
                <w:rStyle w:val="Emphasis"/>
              </w:rPr>
              <w:t>Requirements of the Code of Practice and other relevant legislation include</w:t>
            </w:r>
            <w:r w:rsidRPr="00A70EF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ListBullet"/>
            </w:pPr>
            <w:r w:rsidRPr="00A70EFF">
              <w:t>Legal requirements of the Code of Practice including:</w:t>
            </w:r>
          </w:p>
          <w:p w:rsidR="00000000" w:rsidRPr="00A70EFF" w:rsidP="00A70EFF">
            <w:pPr>
              <w:pStyle w:val="ListBullet2"/>
            </w:pPr>
            <w:r w:rsidRPr="00A70EFF">
              <w:t>knowledge of a variety of family relationship services available to enh</w:t>
            </w:r>
            <w:r w:rsidRPr="00A70EFF">
              <w:t>ance and sustain couples throughout their relationship</w:t>
            </w:r>
          </w:p>
          <w:p w:rsidR="00000000" w:rsidRPr="00A70EFF" w:rsidP="00A70EFF">
            <w:pPr>
              <w:pStyle w:val="ListBullet"/>
            </w:pPr>
            <w:r w:rsidRPr="00A70EFF">
              <w:t>Other relevant legislation including:</w:t>
            </w:r>
          </w:p>
          <w:p w:rsidR="00000000" w:rsidRPr="00A70EFF" w:rsidP="00A70EFF">
            <w:pPr>
              <w:pStyle w:val="ListBullet2"/>
            </w:pPr>
            <w:r w:rsidRPr="00A70EFF">
              <w:t>anti-discrimination legislation</w:t>
            </w:r>
          </w:p>
          <w:p w:rsidR="00000000" w:rsidRPr="00A70EFF" w:rsidP="00A70EFF">
            <w:pPr>
              <w:pStyle w:val="ListBullet2"/>
            </w:pPr>
            <w:r w:rsidRPr="00A70EFF">
              <w:t>trade practices and fair trading legislation</w:t>
            </w:r>
          </w:p>
          <w:p w:rsidR="00000000" w:rsidRPr="00A70EFF" w:rsidP="00A70EFF">
            <w:pPr>
              <w:pStyle w:val="ListBullet2"/>
            </w:pPr>
            <w:r w:rsidRPr="00A70EFF">
              <w:t>copyright</w:t>
            </w:r>
          </w:p>
          <w:p w:rsidR="00000000" w:rsidRPr="00A70EFF" w:rsidP="00A70EFF">
            <w:pPr>
              <w:pStyle w:val="ListBullet2"/>
            </w:pPr>
            <w:r w:rsidRPr="00A70EFF">
              <w:t>local government requirements e.g. parks and gardens</w:t>
            </w:r>
          </w:p>
          <w:p w:rsidR="00000000" w:rsidP="00A70EFF">
            <w:pPr>
              <w:pStyle w:val="ListBullet2"/>
              <w:rPr>
                <w:lang w:val="en-NZ"/>
              </w:rPr>
            </w:pPr>
            <w:r w:rsidRPr="00A70EFF">
              <w:t xml:space="preserve">registration requirements in the relevant state and/or territory </w:t>
            </w:r>
          </w:p>
        </w:tc>
      </w:tr>
      <w:tr w:rsidTr="00D76C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EFF" w:rsidP="00A70EFF">
            <w:pPr>
              <w:pStyle w:val="BodyText"/>
            </w:pPr>
          </w:p>
        </w:tc>
      </w:tr>
    </w:tbl>
    <w:p w:rsidR="00D76CE3" w:rsidP="00A70EFF">
      <w:pPr>
        <w:pStyle w:val="BodyText"/>
      </w:pPr>
    </w:p>
    <w:p w:rsidR="00D76CE3" w:rsidP="00A70EFF">
      <w:pPr>
        <w:pStyle w:val="BodyText"/>
      </w:pPr>
    </w:p>
    <w:p w:rsidR="00000000" w:rsidRPr="00A70EFF" w:rsidP="00A70EFF">
      <w:pPr>
        <w:pStyle w:val="Heading1"/>
      </w:pPr>
      <w:bookmarkStart w:id="12" w:name="O_293865"/>
      <w:bookmarkEnd w:id="12"/>
      <w:r w:rsidRPr="00A70EFF">
        <w:t>Unit Sector(s)</w:t>
      </w:r>
    </w:p>
    <w:p w:rsidR="00000000" w:rsidRPr="00A70EFF" w:rsidP="00A70EFF">
      <w:pPr>
        <w:pStyle w:val="BodyText"/>
      </w:pPr>
      <w:r w:rsidRPr="00A70EFF">
        <w:t>Not Applicable</w:t>
      </w:r>
    </w:p>
    <w:p w:rsidR="00000000" w:rsidRPr="00A70EFF" w:rsidP="00A70EFF"/>
    <w:sectPr w:rsidSect="00A70E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6CE3" w:rsidP="00D76CE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E3" w:rsidP="00A70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D76CE3" w:rsidP="00A70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76CE3" w:rsidP="00A70E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FF" w:rsidRPr="00D76CE3" w:rsidP="00D76C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CE3" w:rsidRPr="002D2AF8" w:rsidP="00A70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CHCCEL402A Establish and maintain knowledge of legal responsibilities of a marriage celebrant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D76CE3" w:rsidP="00A70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C3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BC5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148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EFF"/>
  </w:style>
  <w:style w:type="character" w:customStyle="1" w:styleId="Heading1Char">
    <w:name w:val="Heading 1 Char"/>
    <w:basedOn w:val="DefaultParagraphFont"/>
    <w:link w:val="Heading1"/>
    <w:rsid w:val="00A70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E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EF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70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EF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70E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E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EFF"/>
    <w:rPr>
      <w:b/>
      <w:spacing w:val="0"/>
    </w:rPr>
  </w:style>
  <w:style w:type="paragraph" w:styleId="ListBullet2">
    <w:name w:val="List Bullet 2"/>
    <w:basedOn w:val="List2"/>
    <w:rsid w:val="00A70EF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0EFF"/>
    <w:rPr>
      <w:i/>
    </w:rPr>
  </w:style>
  <w:style w:type="paragraph" w:customStyle="1" w:styleId="SuperHeading">
    <w:name w:val="SuperHeading"/>
    <w:basedOn w:val="Normal"/>
    <w:rsid w:val="00A70E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0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70EF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70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0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E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0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0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EFF"/>
  </w:style>
  <w:style w:type="paragraph" w:styleId="TableofFigures">
    <w:name w:val="table of figures"/>
    <w:basedOn w:val="Normal"/>
    <w:next w:val="Normal"/>
    <w:semiHidden/>
    <w:rsid w:val="00A70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EFF"/>
    <w:pPr>
      <w:numPr>
        <w:numId w:val="11"/>
      </w:numPr>
    </w:pPr>
  </w:style>
  <w:style w:type="character" w:customStyle="1" w:styleId="WingdingSymbols">
    <w:name w:val="Wingding Symbols"/>
    <w:rsid w:val="00A70EFF"/>
    <w:rPr>
      <w:rFonts w:ascii="Wingdings" w:hAnsi="Wingdings"/>
    </w:rPr>
  </w:style>
  <w:style w:type="paragraph" w:customStyle="1" w:styleId="TableHeading">
    <w:name w:val="Table Heading"/>
    <w:basedOn w:val="HeadingBase"/>
    <w:rsid w:val="00A70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EFF"/>
    <w:rPr>
      <w:color w:val="0033CC"/>
      <w:u w:val="none"/>
    </w:rPr>
  </w:style>
  <w:style w:type="paragraph" w:customStyle="1" w:styleId="BodyTextRight">
    <w:name w:val="Body Text Right"/>
    <w:basedOn w:val="BodyText"/>
    <w:rsid w:val="00A70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E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EFF"/>
    <w:rPr>
      <w:sz w:val="32"/>
    </w:rPr>
  </w:style>
  <w:style w:type="paragraph" w:customStyle="1" w:styleId="HeadingProcedure">
    <w:name w:val="Heading Procedure"/>
    <w:basedOn w:val="HeadingBase"/>
    <w:next w:val="Normal"/>
    <w:rsid w:val="00A70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EFF"/>
    <w:pPr>
      <w:spacing w:before="60" w:after="60"/>
    </w:pPr>
  </w:style>
  <w:style w:type="paragraph" w:styleId="ListContinue">
    <w:name w:val="List Continue"/>
    <w:basedOn w:val="List"/>
    <w:rsid w:val="00A70EFF"/>
    <w:pPr>
      <w:ind w:firstLine="0"/>
    </w:pPr>
  </w:style>
  <w:style w:type="paragraph" w:customStyle="1" w:styleId="ListNote">
    <w:name w:val="List Note"/>
    <w:basedOn w:val="List"/>
    <w:rsid w:val="00A70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EFF"/>
    <w:rPr>
      <w:rFonts w:ascii="Courier New" w:hAnsi="Courier New"/>
    </w:rPr>
  </w:style>
  <w:style w:type="paragraph" w:customStyle="1" w:styleId="NoteBullet">
    <w:name w:val="Note Bullet"/>
    <w:basedOn w:val="Note"/>
    <w:rsid w:val="00A70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E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0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EFF"/>
    <w:rPr>
      <w:b/>
      <w:smallCaps/>
    </w:rPr>
  </w:style>
  <w:style w:type="paragraph" w:customStyle="1" w:styleId="TableListNumber">
    <w:name w:val="Table List Number"/>
    <w:basedOn w:val="ListNumber"/>
    <w:rsid w:val="00A70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EFF"/>
    <w:pPr>
      <w:numPr>
        <w:numId w:val="9"/>
      </w:numPr>
    </w:pPr>
  </w:style>
  <w:style w:type="paragraph" w:customStyle="1" w:styleId="ListAlpha2">
    <w:name w:val="List Alpha 2"/>
    <w:basedOn w:val="List2"/>
    <w:rsid w:val="00A70EFF"/>
    <w:pPr>
      <w:numPr>
        <w:numId w:val="8"/>
      </w:numPr>
    </w:pPr>
  </w:style>
  <w:style w:type="paragraph" w:styleId="List2">
    <w:name w:val="List 2"/>
    <w:basedOn w:val="BodyText"/>
    <w:rsid w:val="00A70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E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EFF"/>
    <w:pPr>
      <w:numPr>
        <w:numId w:val="3"/>
      </w:numPr>
    </w:pPr>
  </w:style>
  <w:style w:type="paragraph" w:styleId="ListBullet5">
    <w:name w:val="List Bullet 5"/>
    <w:basedOn w:val="List5"/>
    <w:rsid w:val="00A70EFF"/>
    <w:pPr>
      <w:numPr>
        <w:numId w:val="4"/>
      </w:numPr>
    </w:pPr>
  </w:style>
  <w:style w:type="paragraph" w:styleId="ListContinue2">
    <w:name w:val="List Continue 2"/>
    <w:basedOn w:val="List2"/>
    <w:rsid w:val="00A70EFF"/>
    <w:pPr>
      <w:ind w:firstLine="0"/>
    </w:pPr>
  </w:style>
  <w:style w:type="paragraph" w:styleId="ListContinue3">
    <w:name w:val="List Continue 3"/>
    <w:basedOn w:val="List3"/>
    <w:rsid w:val="00A70EFF"/>
    <w:pPr>
      <w:ind w:left="1021" w:firstLine="0"/>
    </w:pPr>
  </w:style>
  <w:style w:type="paragraph" w:styleId="ListContinue4">
    <w:name w:val="List Continue 4"/>
    <w:basedOn w:val="List4"/>
    <w:rsid w:val="00A70EFF"/>
    <w:pPr>
      <w:ind w:firstLine="0"/>
    </w:pPr>
  </w:style>
  <w:style w:type="paragraph" w:styleId="ListContinue5">
    <w:name w:val="List Continue 5"/>
    <w:basedOn w:val="List5"/>
    <w:rsid w:val="00A70EFF"/>
    <w:pPr>
      <w:ind w:firstLine="0"/>
    </w:pPr>
  </w:style>
  <w:style w:type="paragraph" w:styleId="ListNumber3">
    <w:name w:val="List Number 3"/>
    <w:basedOn w:val="List3"/>
    <w:rsid w:val="00A70EFF"/>
    <w:pPr>
      <w:numPr>
        <w:numId w:val="5"/>
      </w:numPr>
    </w:pPr>
  </w:style>
  <w:style w:type="paragraph" w:styleId="ListNumber4">
    <w:name w:val="List Number 4"/>
    <w:basedOn w:val="List4"/>
    <w:rsid w:val="00A70EFF"/>
    <w:pPr>
      <w:numPr>
        <w:numId w:val="6"/>
      </w:numPr>
    </w:pPr>
  </w:style>
  <w:style w:type="paragraph" w:styleId="ListNumber5">
    <w:name w:val="List Number 5"/>
    <w:basedOn w:val="List5"/>
    <w:rsid w:val="00A70EFF"/>
    <w:pPr>
      <w:numPr>
        <w:numId w:val="7"/>
      </w:numPr>
    </w:pPr>
  </w:style>
  <w:style w:type="paragraph" w:styleId="BlockText">
    <w:name w:val="Block Text"/>
    <w:basedOn w:val="Normal"/>
    <w:rsid w:val="00A70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EFF"/>
    <w:rPr>
      <w:sz w:val="16"/>
      <w:vertAlign w:val="superscript"/>
    </w:rPr>
  </w:style>
  <w:style w:type="character" w:customStyle="1" w:styleId="Symbols">
    <w:name w:val="Symbols"/>
    <w:basedOn w:val="DefaultParagraphFont"/>
    <w:rsid w:val="00A70EFF"/>
    <w:rPr>
      <w:rFonts w:ascii="Symbol" w:hAnsi="Symbol"/>
    </w:rPr>
  </w:style>
  <w:style w:type="character" w:customStyle="1" w:styleId="MenuOptions">
    <w:name w:val="Menu Options"/>
    <w:basedOn w:val="DefaultParagraphFont"/>
    <w:rsid w:val="00A70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EFF"/>
    <w:rPr>
      <w:b/>
    </w:rPr>
  </w:style>
  <w:style w:type="character" w:customStyle="1" w:styleId="Underlined">
    <w:name w:val="Underlined"/>
    <w:basedOn w:val="DefaultParagraphFont"/>
    <w:rsid w:val="00A70EFF"/>
    <w:rPr>
      <w:u w:val="single"/>
    </w:rPr>
  </w:style>
  <w:style w:type="paragraph" w:customStyle="1" w:styleId="TableBodyTextRight">
    <w:name w:val="Table Body Text Right"/>
    <w:basedOn w:val="TableBodyText"/>
    <w:rsid w:val="00A70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EFF"/>
    <w:rPr>
      <w:sz w:val="18"/>
    </w:rPr>
  </w:style>
  <w:style w:type="paragraph" w:customStyle="1" w:styleId="BodySmallRight">
    <w:name w:val="Body Small Right"/>
    <w:basedOn w:val="BodyTextRight"/>
    <w:rsid w:val="00A70EFF"/>
    <w:rPr>
      <w:sz w:val="18"/>
      <w:szCs w:val="18"/>
    </w:rPr>
  </w:style>
  <w:style w:type="paragraph" w:customStyle="1" w:styleId="MarginEdition">
    <w:name w:val="Margin Edition"/>
    <w:basedOn w:val="MarginNote"/>
    <w:rsid w:val="00A70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EFF"/>
    <w:rPr>
      <w:sz w:val="2"/>
      <w:szCs w:val="2"/>
    </w:rPr>
  </w:style>
  <w:style w:type="character" w:customStyle="1" w:styleId="Small">
    <w:name w:val="Small"/>
    <w:basedOn w:val="DefaultParagraphFont"/>
    <w:rsid w:val="00A70EFF"/>
    <w:rPr>
      <w:sz w:val="16"/>
    </w:rPr>
  </w:style>
  <w:style w:type="paragraph" w:customStyle="1" w:styleId="WideTable">
    <w:name w:val="Wide Table"/>
    <w:basedOn w:val="Normal"/>
    <w:rsid w:val="00A70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EFF"/>
  </w:style>
  <w:style w:type="paragraph" w:styleId="Quote">
    <w:name w:val="Quote"/>
    <w:basedOn w:val="Heading1"/>
    <w:link w:val="QuoteChar"/>
    <w:qFormat/>
    <w:rsid w:val="00A70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EFF"/>
    <w:pPr>
      <w:pageBreakBefore/>
    </w:pPr>
  </w:style>
  <w:style w:type="paragraph" w:customStyle="1" w:styleId="Border">
    <w:name w:val="Border"/>
    <w:basedOn w:val="Normal"/>
    <w:qFormat/>
    <w:rsid w:val="00A70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70EFF"/>
    <w:rPr>
      <w:b/>
      <w:i/>
      <w:u w:val="none"/>
    </w:rPr>
  </w:style>
  <w:style w:type="paragraph" w:styleId="BalloonText">
    <w:name w:val="Balloon Text"/>
    <w:basedOn w:val="Normal"/>
    <w:link w:val="BalloonTextChar"/>
    <w:rsid w:val="00A70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E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E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1816</Words>
  <Characters>11069</Characters>
  <Application>Microsoft Office Word</Application>
  <DocSecurity>0</DocSecurity>
  <Lines>365</Lines>
  <Paragraphs>170</Paragraphs>
  <ScaleCrop>false</ScaleCrop>
  <Company>Author-it Software Corporation Ltd.</Company>
  <LinksUpToDate>false</LinksUpToDate>
  <CharactersWithSpaces>12836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CHCCEL402A Establish and maintain knowledge of legal responsibilities of a marriage celebrant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2012-10-05T12:06:00Z</dcterms:created>
  <dcterms:modified xsi:type="dcterms:W3CDTF">2012-10-05T12:06:00Z</dcterms:modified>
</cp:coreProperties>
</file>