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F29" w:rsidP="00092F29">
      <w:pPr>
        <w:pStyle w:val="Title"/>
      </w:pPr>
      <w:bookmarkStart w:id="0" w:name="_GoBack"/>
      <w:bookmarkEnd w:id="0"/>
      <w:r>
        <w:fldChar w:fldCharType="begin"/>
      </w:r>
      <w:r>
        <w:instrText xml:space="preserve"> TITLE   \* MERGEFORMAT </w:instrText>
      </w:r>
      <w:r>
        <w:fldChar w:fldCharType="separate"/>
      </w:r>
      <w:r>
        <w:t>CHCCD420A Work to empower Aboriginal and/or Torres Strait Islander communities</w:t>
      </w:r>
      <w:r>
        <w:fldChar w:fldCharType="end"/>
      </w:r>
    </w:p>
    <w:p w:rsidR="00092F29" w:rsidP="00092F29">
      <w:pPr>
        <w:pStyle w:val="Version"/>
        <w:sectPr w:rsidSect="002C1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25A" w:rsidP="002C125A">
      <w:pPr>
        <w:pStyle w:val="SuperHeading"/>
      </w:pPr>
      <w:r w:rsidRPr="002C125A">
        <w:t>CHCCD420A Work to empower Aboriginal and/or Torres Strait Islander communities</w:t>
      </w:r>
    </w:p>
    <w:p w:rsidR="00000000" w:rsidRPr="002C125A" w:rsidP="002C125A">
      <w:pPr>
        <w:pStyle w:val="Heading1"/>
      </w:pPr>
      <w:bookmarkStart w:id="1" w:name="O_268860"/>
      <w:bookmarkEnd w:id="1"/>
      <w:r w:rsidRPr="002C125A">
        <w:t>Modification History</w:t>
      </w:r>
    </w:p>
    <w:p w:rsidR="00000000" w:rsidRPr="002C125A" w:rsidP="002C125A">
      <w:pPr>
        <w:pStyle w:val="BodyText"/>
      </w:pPr>
      <w:r w:rsidRPr="002C125A">
        <w:t>Not Applicable</w:t>
      </w:r>
    </w:p>
    <w:p w:rsidR="00000000" w:rsidRPr="002C125A" w:rsidP="002C125A">
      <w:pPr>
        <w:pStyle w:val="AllowPageBreak"/>
      </w:pPr>
    </w:p>
    <w:p w:rsidR="00000000" w:rsidRPr="002C125A" w:rsidP="002C125A">
      <w:pPr>
        <w:pStyle w:val="Heading1"/>
      </w:pPr>
      <w:bookmarkStart w:id="2" w:name="O_195003"/>
      <w:bookmarkEnd w:id="2"/>
      <w:r w:rsidRPr="002C125A">
        <w:t>Unit Descriptor</w:t>
      </w:r>
    </w:p>
    <w:tbl>
      <w:tblPr>
        <w:tblW w:w="0" w:type="auto"/>
        <w:tblLayout w:type="fixed"/>
        <w:tblCellMar>
          <w:left w:w="62" w:type="dxa"/>
          <w:right w:w="62" w:type="dxa"/>
        </w:tblCellMar>
        <w:tblLook w:val="0000"/>
      </w:tblPr>
      <w:tblGrid>
        <w:gridCol w:w="3265"/>
        <w:gridCol w:w="5291"/>
      </w:tblGrid>
      <w:tr w:rsidTr="00092F29">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SpecialBold"/>
              </w:rPr>
              <w:t>Un</w:t>
            </w:r>
            <w:r w:rsidRPr="002C125A">
              <w:rPr>
                <w:rStyle w:val="SpecialBold"/>
              </w:rPr>
              <w:t>it Descriptor</w:t>
            </w:r>
          </w:p>
        </w:tc>
        <w:tc>
          <w:tcPr>
            <w:tcW w:w="5291"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t>This unit describes the skills and knowledge required for Aboriginal and/or Torres Strait Islander workers to work powerfully in a community work and/or service delivery context to empower the community</w:t>
            </w:r>
          </w:p>
        </w:tc>
      </w:tr>
    </w:tbl>
    <w:p w:rsidR="00092F29" w:rsidP="002C125A">
      <w:pPr>
        <w:pStyle w:val="BodyText"/>
      </w:pPr>
    </w:p>
    <w:p w:rsidR="00092F29" w:rsidP="002C125A">
      <w:pPr>
        <w:pStyle w:val="BodyText"/>
      </w:pPr>
    </w:p>
    <w:p w:rsidR="00000000" w:rsidRPr="002C125A" w:rsidP="002C125A">
      <w:pPr>
        <w:pStyle w:val="Heading1"/>
      </w:pPr>
      <w:bookmarkStart w:id="3" w:name="O_195005"/>
      <w:bookmarkEnd w:id="3"/>
      <w:r w:rsidRPr="002C125A">
        <w:t>Application of the Unit</w:t>
      </w:r>
    </w:p>
    <w:tbl>
      <w:tblPr>
        <w:tblW w:w="0" w:type="auto"/>
        <w:tblLayout w:type="fixed"/>
        <w:tblCellMar>
          <w:left w:w="62" w:type="dxa"/>
          <w:right w:w="62" w:type="dxa"/>
        </w:tblCellMar>
        <w:tblLook w:val="0000"/>
      </w:tblPr>
      <w:tblGrid>
        <w:gridCol w:w="3343"/>
        <w:gridCol w:w="5213"/>
      </w:tblGrid>
      <w:tr w:rsidTr="00092F29">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t>This unit is basic to community work and the delivery of community services by members of Aboriginal and/or Torres Strait Islander communities</w:t>
            </w:r>
          </w:p>
          <w:p w:rsidR="00000000" w:rsidRPr="002C125A" w:rsidP="002C125A">
            <w:pPr>
              <w:pStyle w:val="BodyText"/>
            </w:pPr>
            <w:r w:rsidRPr="002C125A">
              <w:t>The unit applies to those Aboriginal and/or Torres Strait Islander workers wh</w:t>
            </w:r>
            <w:r w:rsidRPr="002C125A">
              <w:t>o may work individually and as part of a team, whether the services are delivered through visits to the community, in Aboriginal and/or Torres Strait Islander community clinics or in mainstream services</w:t>
            </w:r>
          </w:p>
        </w:tc>
      </w:tr>
    </w:tbl>
    <w:p w:rsidR="00092F29" w:rsidP="002C125A">
      <w:pPr>
        <w:pStyle w:val="BodyText"/>
      </w:pPr>
    </w:p>
    <w:p w:rsidR="00092F29" w:rsidP="002C125A">
      <w:pPr>
        <w:pStyle w:val="BodyText"/>
      </w:pPr>
    </w:p>
    <w:p w:rsidR="00000000" w:rsidRPr="002C125A" w:rsidP="002C125A">
      <w:pPr>
        <w:pStyle w:val="Heading1"/>
      </w:pPr>
      <w:bookmarkStart w:id="4" w:name="O_277120"/>
      <w:bookmarkEnd w:id="4"/>
      <w:r w:rsidRPr="002C125A">
        <w:t>Licensing/Regulatory Informatio</w:t>
      </w:r>
      <w:r w:rsidRPr="002C125A">
        <w:t>n</w:t>
      </w:r>
    </w:p>
    <w:p w:rsidR="00000000" w:rsidRPr="002C125A" w:rsidP="002C125A">
      <w:pPr>
        <w:pStyle w:val="BodyText"/>
      </w:pPr>
      <w:r w:rsidRPr="002C125A">
        <w:t>Not Applicable</w:t>
      </w:r>
    </w:p>
    <w:p w:rsidR="00000000" w:rsidRPr="002C125A" w:rsidP="002C125A">
      <w:pPr>
        <w:pStyle w:val="AllowPageBreak"/>
      </w:pPr>
    </w:p>
    <w:p w:rsidR="00000000" w:rsidRPr="002C125A" w:rsidP="002C125A">
      <w:pPr>
        <w:pStyle w:val="Heading1"/>
      </w:pPr>
      <w:bookmarkStart w:id="5" w:name="O_282982"/>
      <w:bookmarkEnd w:id="5"/>
      <w:r w:rsidRPr="002C125A">
        <w:t>Pre-Requisites</w:t>
      </w:r>
    </w:p>
    <w:p w:rsidR="00000000" w:rsidRPr="002C125A" w:rsidP="002C125A">
      <w:pPr>
        <w:pStyle w:val="BodyText"/>
      </w:pPr>
      <w:r w:rsidRPr="002C125A">
        <w:t>Not Applicable</w:t>
      </w:r>
    </w:p>
    <w:p w:rsidR="00000000" w:rsidRPr="002C125A" w:rsidP="002C125A">
      <w:pPr>
        <w:pStyle w:val="AllowPageBreak"/>
      </w:pPr>
    </w:p>
    <w:p w:rsidR="00000000" w:rsidRPr="002C125A" w:rsidP="002C125A">
      <w:pPr>
        <w:pStyle w:val="Heading1"/>
      </w:pPr>
      <w:bookmarkStart w:id="6" w:name="O_195004"/>
      <w:bookmarkEnd w:id="6"/>
      <w:r w:rsidRPr="002C125A">
        <w:t>Employability Skills Information</w:t>
      </w:r>
    </w:p>
    <w:tbl>
      <w:tblPr>
        <w:tblW w:w="0" w:type="auto"/>
        <w:tblLayout w:type="fixed"/>
        <w:tblCellMar>
          <w:left w:w="62" w:type="dxa"/>
          <w:right w:w="62" w:type="dxa"/>
        </w:tblCellMar>
        <w:tblLook w:val="0000"/>
      </w:tblPr>
      <w:tblGrid>
        <w:gridCol w:w="3320"/>
        <w:gridCol w:w="5236"/>
      </w:tblGrid>
      <w:tr w:rsidTr="00092F2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t>This unit contains Employability Skills</w:t>
            </w:r>
          </w:p>
        </w:tc>
      </w:tr>
    </w:tbl>
    <w:p w:rsidR="00092F29" w:rsidP="002C125A">
      <w:pPr>
        <w:pStyle w:val="BodyText"/>
      </w:pPr>
    </w:p>
    <w:p w:rsidR="00092F29" w:rsidP="002C125A">
      <w:pPr>
        <w:pStyle w:val="BodyText"/>
      </w:pPr>
    </w:p>
    <w:p w:rsidR="00000000" w:rsidRPr="002C125A" w:rsidP="002C125A">
      <w:pPr>
        <w:pStyle w:val="Heading1"/>
      </w:pPr>
      <w:bookmarkStart w:id="7" w:name="O_286906"/>
      <w:bookmarkEnd w:id="7"/>
      <w:r w:rsidRPr="002C125A">
        <w:t>Elements and Performance Criteria Pre-Content</w:t>
      </w:r>
    </w:p>
    <w:tbl>
      <w:tblPr>
        <w:tblW w:w="0" w:type="auto"/>
        <w:tblLayout w:type="fixed"/>
        <w:tblCellMar>
          <w:left w:w="62" w:type="dxa"/>
          <w:right w:w="62" w:type="dxa"/>
        </w:tblCellMar>
        <w:tblLook w:val="0000"/>
      </w:tblPr>
      <w:tblGrid>
        <w:gridCol w:w="3369"/>
        <w:gridCol w:w="5702"/>
      </w:tblGrid>
      <w:tr w:rsidTr="00092F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t xml:space="preserve">The Performance Criteria specify the level of performance required to demonstrate achievement of the Element. Terms in italics are elaborated in the Range Statement. </w:t>
            </w:r>
          </w:p>
        </w:tc>
      </w:tr>
    </w:tbl>
    <w:p w:rsidR="00000000" w:rsidRPr="002C125A" w:rsidP="002C125A">
      <w:pPr>
        <w:pStyle w:val="BodyText"/>
      </w:pPr>
    </w:p>
    <w:p w:rsidR="00000000" w:rsidRPr="002C125A" w:rsidP="002C125A">
      <w:pPr>
        <w:pStyle w:val="AllowPageBreak"/>
      </w:pPr>
    </w:p>
    <w:p w:rsidR="00000000" w:rsidRPr="002C125A" w:rsidP="002C125A">
      <w:pPr>
        <w:pStyle w:val="Heading1"/>
      </w:pPr>
      <w:bookmarkStart w:id="8" w:name="O_233573"/>
      <w:bookmarkEnd w:id="8"/>
      <w:r w:rsidRPr="002C125A">
        <w:t>Elements and Performance Criteria</w:t>
      </w:r>
    </w:p>
    <w:tbl>
      <w:tblPr>
        <w:tblW w:w="0" w:type="auto"/>
        <w:tblLayout w:type="fixed"/>
        <w:tblCellMar>
          <w:left w:w="62" w:type="dxa"/>
          <w:right w:w="62" w:type="dxa"/>
        </w:tblCellMar>
        <w:tblLook w:val="0000"/>
      </w:tblPr>
      <w:tblGrid>
        <w:gridCol w:w="3369"/>
        <w:gridCol w:w="5702"/>
      </w:tblGrid>
      <w:tr w:rsidTr="00092F2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SpecialBold"/>
              </w:rPr>
              <w:t>PERFORMANCE CRITERIA</w:t>
            </w:r>
          </w:p>
        </w:tc>
      </w:tr>
      <w:tr w:rsidTr="00092F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125A">
            <w:pPr>
              <w:pStyle w:val="List"/>
              <w:rPr>
                <w:lang w:val="en-NZ"/>
              </w:rPr>
            </w:pPr>
            <w:r w:rsidRPr="002C125A">
              <w:t>1.</w:t>
            </w:r>
            <w:r w:rsidRPr="002C125A">
              <w:tab/>
              <w:t>Work effectively with Aboriginal and/or Torres Strait Islander communities</w:t>
            </w:r>
          </w:p>
        </w:tc>
        <w:tc>
          <w:tcPr>
            <w:tcW w:w="5702"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t>1.1</w:t>
            </w:r>
            <w:r w:rsidRPr="002C125A">
              <w:tab/>
              <w:t>Work with understanding of the cultural issues and complexities of working with Aboriginal and/or Torres Strai</w:t>
            </w:r>
            <w:r w:rsidRPr="002C125A">
              <w:t>t Islander individuals, families and communities</w:t>
            </w:r>
          </w:p>
          <w:p w:rsidR="00000000" w:rsidRPr="002C125A" w:rsidP="002C125A">
            <w:pPr>
              <w:pStyle w:val="BodyText"/>
            </w:pPr>
            <w:r w:rsidRPr="002C125A">
              <w:t>1.1</w:t>
            </w:r>
            <w:r w:rsidRPr="002C125A">
              <w:tab/>
              <w:t xml:space="preserve">Take into account the national/local </w:t>
            </w:r>
            <w:r w:rsidRPr="002C125A">
              <w:rPr>
                <w:rStyle w:val="Emphasis"/>
              </w:rPr>
              <w:t>history</w:t>
            </w:r>
            <w:r w:rsidRPr="002C125A">
              <w:t xml:space="preserve"> and cultural aspects of Aboriginal and/or Torres Strait Islander people as a factor in work</w:t>
            </w:r>
          </w:p>
          <w:p w:rsidR="00000000" w:rsidRPr="002C125A" w:rsidP="002C125A">
            <w:pPr>
              <w:pStyle w:val="BodyText"/>
            </w:pPr>
            <w:r w:rsidRPr="002C125A">
              <w:t>1.2</w:t>
            </w:r>
            <w:r w:rsidRPr="002C125A">
              <w:tab/>
              <w:t xml:space="preserve">Identify historical, cultural, </w:t>
            </w:r>
            <w:r w:rsidRPr="002C125A">
              <w:rPr>
                <w:rStyle w:val="Emphasis"/>
              </w:rPr>
              <w:t>social</w:t>
            </w:r>
            <w:r w:rsidRPr="002C125A">
              <w:t xml:space="preserve">, </w:t>
            </w:r>
            <w:r w:rsidRPr="002C125A">
              <w:rPr>
                <w:rStyle w:val="Emphasis"/>
              </w:rPr>
              <w:t>political</w:t>
            </w:r>
            <w:r w:rsidRPr="002C125A">
              <w:t xml:space="preserve">, </w:t>
            </w:r>
            <w:r w:rsidRPr="002C125A">
              <w:rPr>
                <w:rStyle w:val="Emphasis"/>
              </w:rPr>
              <w:t>economic and</w:t>
            </w:r>
            <w:r w:rsidRPr="002C125A">
              <w:rPr>
                <w:rStyle w:val="Emphasis"/>
              </w:rPr>
              <w:t xml:space="preserve"> environmental factors</w:t>
            </w:r>
            <w:r w:rsidRPr="002C125A">
              <w:t xml:space="preserve"> and their continuing impact on Aboriginal and/or Torres Strait Islander people in contemporary society</w:t>
            </w:r>
          </w:p>
          <w:p w:rsidR="00000000" w:rsidP="002C125A">
            <w:pPr>
              <w:pStyle w:val="BodyText"/>
              <w:rPr>
                <w:lang w:val="en-NZ"/>
              </w:rPr>
            </w:pPr>
            <w:r w:rsidRPr="002C125A">
              <w:t>1.3</w:t>
            </w:r>
            <w:r w:rsidRPr="002C125A">
              <w:tab/>
              <w:t xml:space="preserve">Reflect in work practice current strategies, programs and models that address Aboriginal and/or Torres Strait Islander issues </w:t>
            </w:r>
            <w:r w:rsidRPr="002C125A">
              <w:t xml:space="preserve">and support </w:t>
            </w:r>
            <w:r w:rsidRPr="002C125A">
              <w:rPr>
                <w:rStyle w:val="Emphasis"/>
              </w:rPr>
              <w:t>community control</w:t>
            </w:r>
          </w:p>
        </w:tc>
      </w:tr>
      <w:tr w:rsidTr="00092F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125A">
            <w:pPr>
              <w:pStyle w:val="List"/>
              <w:rPr>
                <w:lang w:val="en-NZ"/>
              </w:rPr>
            </w:pPr>
            <w:r w:rsidRPr="002C125A">
              <w:t>2.</w:t>
            </w:r>
            <w:r w:rsidRPr="002C125A">
              <w:tab/>
              <w:t>Apply community development frameworks and models to Aboriginal and/or Torres Strait Islander context</w:t>
            </w:r>
          </w:p>
        </w:tc>
        <w:tc>
          <w:tcPr>
            <w:tcW w:w="5702"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t>2.1</w:t>
            </w:r>
            <w:r w:rsidRPr="002C125A">
              <w:tab/>
              <w:t>Identify the role of relevant Aboriginal and/or Torres Strait Islander services and organisations</w:t>
            </w:r>
          </w:p>
          <w:p w:rsidR="00000000" w:rsidRPr="002C125A" w:rsidP="002C125A">
            <w:pPr>
              <w:pStyle w:val="BodyText"/>
            </w:pPr>
            <w:r w:rsidRPr="002C125A">
              <w:t>2.2</w:t>
            </w:r>
            <w:r w:rsidRPr="002C125A">
              <w:tab/>
            </w:r>
            <w:r w:rsidRPr="002C125A">
              <w:t>Involve Aboriginal and/or Torres strait Islander people and communities in the delivery of services they have determined as needed</w:t>
            </w:r>
          </w:p>
          <w:p w:rsidR="00000000" w:rsidRPr="002C125A" w:rsidP="002C125A">
            <w:pPr>
              <w:pStyle w:val="BodyText"/>
            </w:pPr>
            <w:r w:rsidRPr="002C125A">
              <w:t>2.3</w:t>
            </w:r>
            <w:r w:rsidRPr="002C125A">
              <w:tab/>
              <w:t>Involve Aboriginal and/or Torres Strait Islander people in achieving access and equity to services</w:t>
            </w:r>
          </w:p>
          <w:p w:rsidR="00000000" w:rsidP="002C125A">
            <w:pPr>
              <w:pStyle w:val="BodyText"/>
              <w:rPr>
                <w:lang w:val="en-NZ"/>
              </w:rPr>
            </w:pPr>
            <w:r w:rsidRPr="002C125A">
              <w:t>2.4</w:t>
            </w:r>
            <w:r w:rsidRPr="002C125A">
              <w:tab/>
              <w:t>Establish and main</w:t>
            </w:r>
            <w:r w:rsidRPr="002C125A">
              <w:t xml:space="preserve">tain networks with relevant </w:t>
            </w:r>
            <w:r w:rsidRPr="002C125A">
              <w:rPr>
                <w:rStyle w:val="Emphasis"/>
              </w:rPr>
              <w:t>agencies and associated community services</w:t>
            </w:r>
            <w:r w:rsidRPr="002C125A">
              <w:t xml:space="preserve"> to support and empower Aboriginal and/or Torres Strait Islander individuals and communities</w:t>
            </w:r>
          </w:p>
        </w:tc>
      </w:tr>
      <w:tr w:rsidTr="00092F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125A">
            <w:pPr>
              <w:pStyle w:val="List"/>
              <w:rPr>
                <w:lang w:val="en-NZ"/>
              </w:rPr>
            </w:pPr>
            <w:r w:rsidRPr="002C125A">
              <w:t>3.</w:t>
            </w:r>
            <w:r w:rsidRPr="002C125A">
              <w:tab/>
              <w:t>Work in a culturally safe manner</w:t>
            </w:r>
          </w:p>
        </w:tc>
        <w:tc>
          <w:tcPr>
            <w:tcW w:w="5702"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t>3.1</w:t>
            </w:r>
            <w:r w:rsidRPr="002C125A">
              <w:tab/>
              <w:t>Consider and respect local community values, cult</w:t>
            </w:r>
            <w:r w:rsidRPr="002C125A">
              <w:t>ural beliefs and gender roles when working with Aboriginal and/or Torres Strait Islander people</w:t>
            </w:r>
          </w:p>
          <w:p w:rsidR="00000000" w:rsidRPr="002C125A" w:rsidP="002C125A">
            <w:pPr>
              <w:pStyle w:val="BodyText"/>
            </w:pPr>
            <w:r w:rsidRPr="002C125A">
              <w:t>3.2</w:t>
            </w:r>
            <w:r w:rsidRPr="002C125A">
              <w:tab/>
              <w:t xml:space="preserve">Apply </w:t>
            </w:r>
            <w:r w:rsidRPr="002C125A">
              <w:rPr>
                <w:rStyle w:val="Emphasis"/>
              </w:rPr>
              <w:t>cultural safety</w:t>
            </w:r>
            <w:r w:rsidRPr="002C125A">
              <w:t xml:space="preserve"> protocols in implementing government policies, undertaking research and data collection and working with Aboriginal and/or Torres Stra</w:t>
            </w:r>
            <w:r w:rsidRPr="002C125A">
              <w:t>it Islander people</w:t>
            </w:r>
          </w:p>
          <w:p w:rsidR="00000000" w:rsidRPr="002C125A" w:rsidP="002C125A">
            <w:pPr>
              <w:pStyle w:val="BodyText"/>
            </w:pPr>
            <w:r w:rsidRPr="002C125A">
              <w:t>3.3</w:t>
            </w:r>
            <w:r w:rsidRPr="002C125A">
              <w:tab/>
              <w:t xml:space="preserve">Identify </w:t>
            </w:r>
            <w:r w:rsidRPr="002C125A">
              <w:rPr>
                <w:rStyle w:val="Emphasis"/>
              </w:rPr>
              <w:t>cultural factors that may produce stress</w:t>
            </w:r>
            <w:r w:rsidRPr="002C125A">
              <w:t xml:space="preserve"> and have a potential to impact own work practices and report to organisation as appropriate to support service delivery and personal well being</w:t>
            </w:r>
          </w:p>
          <w:p w:rsidR="00000000" w:rsidP="002C125A">
            <w:pPr>
              <w:pStyle w:val="BodyText"/>
              <w:rPr>
                <w:lang w:val="en-NZ"/>
              </w:rPr>
            </w:pPr>
            <w:r w:rsidRPr="002C125A">
              <w:t>3.4</w:t>
            </w:r>
            <w:r w:rsidRPr="002C125A">
              <w:tab/>
              <w:t>Work safely within own responsibili</w:t>
            </w:r>
            <w:r w:rsidRPr="002C125A">
              <w:t xml:space="preserve">ty and competence and in line with community protocols, </w:t>
            </w:r>
            <w:r w:rsidRPr="002C125A">
              <w:rPr>
                <w:rStyle w:val="Emphasis"/>
              </w:rPr>
              <w:t>organisation policies and regulatory requirements</w:t>
            </w:r>
            <w:r w:rsidRPr="002C125A">
              <w:t xml:space="preserve"> </w:t>
            </w:r>
          </w:p>
        </w:tc>
      </w:tr>
      <w:tr w:rsidTr="00092F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125A">
            <w:pPr>
              <w:pStyle w:val="List"/>
              <w:rPr>
                <w:lang w:val="en-NZ"/>
              </w:rPr>
            </w:pPr>
            <w:r w:rsidRPr="002C125A">
              <w:t>4.</w:t>
            </w:r>
            <w:r w:rsidRPr="002C125A">
              <w:tab/>
              <w:t>Work with Aboriginal and/or Torres Strait Islander people to apply strategies and policies which deal with identified issues and needs</w:t>
            </w:r>
          </w:p>
        </w:tc>
        <w:tc>
          <w:tcPr>
            <w:tcW w:w="5702"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t>4.1</w:t>
            </w:r>
            <w:r w:rsidRPr="002C125A">
              <w:tab/>
            </w:r>
            <w:r w:rsidRPr="002C125A">
              <w:t>Identify aspects of organisation service strategies, policies, bodies and resources relevant to work in Aboriginal and/or Torres Strait Islander communities</w:t>
            </w:r>
          </w:p>
          <w:p w:rsidR="00000000" w:rsidRPr="002C125A" w:rsidP="002C125A">
            <w:pPr>
              <w:pStyle w:val="BodyText"/>
            </w:pPr>
            <w:r w:rsidRPr="002C125A">
              <w:t>4.2</w:t>
            </w:r>
            <w:r w:rsidRPr="002C125A">
              <w:tab/>
              <w:t>Apply strategies and policies to address identified needs of Aboriginal and/or Torres Strait Is</w:t>
            </w:r>
            <w:r w:rsidRPr="002C125A">
              <w:t>lander people and communities</w:t>
            </w:r>
          </w:p>
          <w:p w:rsidR="00000000" w:rsidRPr="002C125A" w:rsidP="002C125A">
            <w:pPr>
              <w:pStyle w:val="BodyText"/>
            </w:pPr>
            <w:r w:rsidRPr="002C125A">
              <w:t>4.3</w:t>
            </w:r>
            <w:r w:rsidRPr="002C125A">
              <w:tab/>
              <w:t xml:space="preserve">Identify </w:t>
            </w:r>
            <w:r w:rsidRPr="002C125A">
              <w:rPr>
                <w:rStyle w:val="Emphasis"/>
              </w:rPr>
              <w:t>barriers to access and equity in relation to Aboriginal and</w:t>
            </w:r>
            <w:r w:rsidRPr="002C125A">
              <w:t>/</w:t>
            </w:r>
            <w:r w:rsidRPr="002C125A">
              <w:rPr>
                <w:rStyle w:val="Emphasis"/>
              </w:rPr>
              <w:t>or Torres Strait Islander services</w:t>
            </w:r>
          </w:p>
          <w:p w:rsidR="00000000" w:rsidRPr="002C125A" w:rsidP="002C125A">
            <w:pPr>
              <w:pStyle w:val="BodyText"/>
            </w:pPr>
            <w:r w:rsidRPr="002C125A">
              <w:t>4.4</w:t>
            </w:r>
            <w:r w:rsidRPr="002C125A">
              <w:tab/>
              <w:t>Take available opportunities to advocate on behalf of Aboriginal and/or Torres Strait Islander people and/or commu</w:t>
            </w:r>
            <w:r w:rsidRPr="002C125A">
              <w:t>nities</w:t>
            </w:r>
          </w:p>
          <w:p w:rsidR="00000000" w:rsidP="002C125A">
            <w:pPr>
              <w:pStyle w:val="BodyText"/>
              <w:rPr>
                <w:lang w:val="en-NZ"/>
              </w:rPr>
            </w:pPr>
            <w:r w:rsidRPr="002C125A">
              <w:t>4.5</w:t>
            </w:r>
            <w:r w:rsidRPr="002C125A">
              <w:tab/>
              <w:t xml:space="preserve">Maintain confidentiality of client information </w:t>
            </w:r>
          </w:p>
        </w:tc>
      </w:tr>
      <w:tr w:rsidTr="00092F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C125A" w:rsidP="002C125A">
            <w:pPr>
              <w:pStyle w:val="BodyText"/>
            </w:pPr>
          </w:p>
        </w:tc>
      </w:tr>
    </w:tbl>
    <w:p w:rsidR="00092F29" w:rsidP="002C125A">
      <w:pPr>
        <w:pStyle w:val="BodyText"/>
      </w:pPr>
    </w:p>
    <w:p w:rsidR="00092F29" w:rsidP="002C125A">
      <w:pPr>
        <w:pStyle w:val="BodyText"/>
      </w:pPr>
    </w:p>
    <w:p w:rsidR="00000000" w:rsidRPr="002C125A" w:rsidP="002C125A">
      <w:pPr>
        <w:pStyle w:val="Heading1"/>
      </w:pPr>
      <w:bookmarkStart w:id="9" w:name="O_257523"/>
      <w:bookmarkEnd w:id="9"/>
      <w:r w:rsidRPr="002C125A">
        <w:t>Required Skills and Knowledge</w:t>
      </w:r>
    </w:p>
    <w:tbl>
      <w:tblPr>
        <w:tblW w:w="0" w:type="auto"/>
        <w:tblLayout w:type="fixed"/>
        <w:tblCellMar>
          <w:left w:w="62" w:type="dxa"/>
          <w:right w:w="62" w:type="dxa"/>
        </w:tblCellMar>
        <w:tblLook w:val="0000"/>
      </w:tblPr>
      <w:tblGrid>
        <w:gridCol w:w="9072"/>
      </w:tblGrid>
      <w:tr w:rsidTr="00092F2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SpecialBold"/>
              </w:rPr>
              <w:t>REQUIRED SKILLS AND KNOWLEDGE</w:t>
            </w:r>
          </w:p>
        </w:tc>
      </w:tr>
      <w:tr w:rsidTr="00092F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t>This describes the essential skills and knowledge and their level required for this unit.</w:t>
            </w:r>
          </w:p>
        </w:tc>
      </w:tr>
      <w:tr w:rsidTr="00092F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rPr>
                <w:rStyle w:val="Emphasis"/>
              </w:rPr>
              <w:t>Essential knowledge</w:t>
            </w:r>
            <w:r w:rsidRPr="002C125A">
              <w:t>:</w:t>
            </w:r>
          </w:p>
          <w:p w:rsidR="00000000" w:rsidRPr="002C125A" w:rsidP="002C125A">
            <w:pPr>
              <w:pStyle w:val="BodyText"/>
            </w:pPr>
            <w:r w:rsidRPr="002C125A">
              <w:t>The candidate must be able to demonstrate essential knowledge required to effectively do the task outlined in elements and performance criteria of this unit, manage the task and manage contingencies in the context of the identified wor</w:t>
            </w:r>
            <w:r w:rsidRPr="002C125A">
              <w:t>k role</w:t>
            </w:r>
          </w:p>
          <w:p w:rsidR="00000000" w:rsidRPr="002C125A" w:rsidP="002C125A">
            <w:pPr>
              <w:pStyle w:val="BodyText"/>
            </w:pPr>
            <w:r w:rsidRPr="002C125A">
              <w:t>These include knowledge of:</w:t>
            </w:r>
          </w:p>
          <w:p w:rsidR="00000000" w:rsidRPr="002C125A" w:rsidP="002C125A">
            <w:pPr>
              <w:pStyle w:val="ListBullet"/>
            </w:pPr>
            <w:r w:rsidRPr="002C125A">
              <w:t xml:space="preserve">Relevant Aboriginal and/or Torres Strait Islander programs and services, including: </w:t>
            </w:r>
          </w:p>
          <w:p w:rsidR="00000000" w:rsidRPr="002C125A" w:rsidP="002C125A">
            <w:pPr>
              <w:pStyle w:val="ListBullet2"/>
            </w:pPr>
            <w:r w:rsidRPr="002C125A">
              <w:t>those relevant to service area</w:t>
            </w:r>
          </w:p>
          <w:p w:rsidR="00000000" w:rsidRPr="002C125A" w:rsidP="002C125A">
            <w:pPr>
              <w:pStyle w:val="ListBullet2"/>
            </w:pPr>
            <w:r w:rsidRPr="002C125A">
              <w:t>Aboriginal and/or Torres Strai</w:t>
            </w:r>
            <w:r w:rsidRPr="002C125A">
              <w:t>t Islander community perceptions of major issues affecting them and underlying causes</w:t>
            </w:r>
          </w:p>
          <w:p w:rsidR="00000000" w:rsidRPr="002C125A" w:rsidP="002C125A">
            <w:pPr>
              <w:pStyle w:val="ListBullet2"/>
            </w:pPr>
            <w:r w:rsidRPr="002C125A">
              <w:t>perceptions of non-Aboriginal and/or Torres Strait Islander people relating to major Aboriginal and/or Torres Strait Islander issues and underlying causes</w:t>
            </w:r>
          </w:p>
          <w:p w:rsidR="00000000" w:rsidRPr="002C125A" w:rsidP="002C125A">
            <w:pPr>
              <w:pStyle w:val="ListBullet2"/>
            </w:pPr>
            <w:r w:rsidRPr="002C125A">
              <w:t xml:space="preserve">key health and </w:t>
            </w:r>
            <w:r w:rsidRPr="002C125A">
              <w:t>social statistics (national, state and/or local) for Aboriginal and/or Torres Strait Islander people compared to those of non-Aboriginal and/or Torres Strait Islander population (such as expectation of life at birth, infant mortality rate, alcohol and othe</w:t>
            </w:r>
            <w:r w:rsidRPr="002C125A">
              <w:t>r drug (AOD) statistics, housing ratio rates and rate and severity of unintentional injuries)</w:t>
            </w:r>
          </w:p>
          <w:p w:rsidR="00000000" w:rsidRPr="002C125A" w:rsidP="002C125A">
            <w:pPr>
              <w:pStyle w:val="ListBullet"/>
            </w:pPr>
            <w:r w:rsidRPr="002C125A">
              <w:t xml:space="preserve">Aboriginal and/or Torres Strait Islander history, including: </w:t>
            </w:r>
          </w:p>
          <w:p w:rsidR="00000000" w:rsidRPr="002C125A" w:rsidP="002C125A">
            <w:pPr>
              <w:pStyle w:val="ListBullet2"/>
            </w:pPr>
            <w:r w:rsidRPr="002C125A">
              <w:t xml:space="preserve">history, social structures, cultural beliefs and values of traditional and contemporary Aboriginal </w:t>
            </w:r>
            <w:r w:rsidRPr="002C125A">
              <w:t>and/or Torres Strait Islander communities in Australia</w:t>
            </w:r>
          </w:p>
          <w:p w:rsidR="00000000" w:rsidRPr="002C125A" w:rsidP="002C125A">
            <w:pPr>
              <w:pStyle w:val="ListBullet2"/>
            </w:pPr>
            <w:r w:rsidRPr="002C125A">
              <w:t>effects of colonisation as experienced by Aboriginal and/or Torres Strait Islander people</w:t>
            </w:r>
          </w:p>
          <w:p w:rsidR="00000000" w:rsidRPr="002C125A" w:rsidP="002C125A">
            <w:pPr>
              <w:pStyle w:val="ListBullet2"/>
            </w:pPr>
            <w:r w:rsidRPr="002C125A">
              <w:t>historical dilemmas faced by Aboriginal and/or Torres Strait Islander people (acknowledge or deny Aboriginality</w:t>
            </w:r>
            <w:r w:rsidRPr="002C125A">
              <w:t>)</w:t>
            </w:r>
          </w:p>
          <w:p w:rsidR="00000000" w:rsidRPr="002C125A" w:rsidP="002C125A">
            <w:pPr>
              <w:pStyle w:val="ListBullet2"/>
            </w:pPr>
            <w:r w:rsidRPr="002C125A">
              <w:t>impacts of government policies and legislation and their impact on Aboriginal and/or Torres Strait Islander communities, families and individuals</w:t>
            </w:r>
          </w:p>
          <w:p w:rsidR="00000000" w:rsidRPr="002C125A" w:rsidP="002C125A">
            <w:pPr>
              <w:pStyle w:val="ListBullet"/>
            </w:pPr>
            <w:r w:rsidRPr="002C125A">
              <w:t>Social, cultural and environmental determinants and strategies to address Aboriginal and/or Torres Strait Is</w:t>
            </w:r>
            <w:r w:rsidRPr="002C125A">
              <w:t xml:space="preserve">lander health status, including: </w:t>
            </w:r>
          </w:p>
          <w:p w:rsidR="00000000" w:rsidRPr="002C125A" w:rsidP="002C125A">
            <w:pPr>
              <w:pStyle w:val="ListBullet2"/>
            </w:pPr>
            <w:r w:rsidRPr="002C125A">
              <w:t xml:space="preserve">traditional Aboriginal and/or Torres Strait Islander cultural practices and lifestyle and their impact on Aboriginal and/or Torres Strait Islander health </w:t>
            </w:r>
          </w:p>
          <w:p w:rsidR="00000000" w:rsidRPr="002C125A" w:rsidP="002C125A">
            <w:pPr>
              <w:pStyle w:val="ListBullet2"/>
            </w:pPr>
            <w:r w:rsidRPr="002C125A">
              <w:t xml:space="preserve">importance of land, tradition and cultural practice to Aboriginal </w:t>
            </w:r>
            <w:r w:rsidRPr="002C125A">
              <w:t xml:space="preserve">and/or Torres Strait Islander health </w:t>
            </w:r>
          </w:p>
          <w:p w:rsidR="00000000" w:rsidRPr="002C125A" w:rsidP="002C125A">
            <w:pPr>
              <w:pStyle w:val="ListBullet2"/>
            </w:pPr>
            <w:r w:rsidRPr="002C125A">
              <w:t>impact of socioeconomic factors on health and welfare</w:t>
            </w:r>
          </w:p>
          <w:p w:rsidR="00000000" w:rsidRPr="002C125A" w:rsidP="002C125A">
            <w:pPr>
              <w:pStyle w:val="ListBullet2"/>
            </w:pPr>
            <w:r w:rsidRPr="002C125A">
              <w:t>social and political factors that perpetuate disadvantage</w:t>
            </w:r>
          </w:p>
          <w:p w:rsidR="00000000" w:rsidRPr="002C125A" w:rsidP="002C125A">
            <w:pPr>
              <w:pStyle w:val="ListBullet2"/>
            </w:pPr>
            <w:r w:rsidRPr="002C125A">
              <w:t>importance of personal achievement, education and supportive family/social networks</w:t>
            </w:r>
          </w:p>
          <w:p w:rsidR="00000000" w:rsidRPr="002C125A" w:rsidP="002C125A">
            <w:pPr>
              <w:pStyle w:val="ListBullet2"/>
            </w:pPr>
            <w:r w:rsidRPr="002C125A">
              <w:t xml:space="preserve">strategies Aboriginal </w:t>
            </w:r>
            <w:r w:rsidRPr="002C125A">
              <w:t>and/or Torres Strait Islander families may employ to maintain strong culture and supportive social networks and maximise educational, employment  and social opportunities for their children</w:t>
            </w:r>
          </w:p>
          <w:p w:rsidR="00000000" w:rsidRPr="002C125A" w:rsidP="002C125A">
            <w:pPr>
              <w:pStyle w:val="ListBullet2"/>
            </w:pPr>
            <w:r w:rsidRPr="002C125A">
              <w:t>impact of environmental factors on health</w:t>
            </w:r>
          </w:p>
          <w:p w:rsidR="00000000" w:rsidRPr="002C125A" w:rsidP="002C125A">
            <w:pPr>
              <w:pStyle w:val="ListBullet2"/>
            </w:pPr>
            <w:r w:rsidRPr="002C125A">
              <w:t>injury prevention and sa</w:t>
            </w:r>
            <w:r w:rsidRPr="002C125A">
              <w:t>fety promotion</w:t>
            </w:r>
          </w:p>
          <w:p w:rsidR="00000000" w:rsidRPr="002C125A" w:rsidP="002C125A">
            <w:pPr>
              <w:pStyle w:val="ListBullet"/>
            </w:pPr>
            <w:r w:rsidRPr="002C125A">
              <w:t>Barriers to improving well being and health status</w:t>
            </w:r>
          </w:p>
          <w:p w:rsidR="00000000" w:rsidP="002C125A">
            <w:pPr>
              <w:pStyle w:val="BodyText"/>
              <w:rPr>
                <w:lang w:val="en-NZ"/>
              </w:rPr>
            </w:pPr>
            <w:r w:rsidRPr="002C125A">
              <w:rPr>
                <w:rStyle w:val="Emphasis"/>
              </w:rPr>
              <w:t>continued</w:t>
            </w:r>
            <w:r w:rsidRPr="002C125A">
              <w:t xml:space="preserve"> ...</w:t>
            </w:r>
          </w:p>
        </w:tc>
      </w:tr>
      <w:tr w:rsidTr="00092F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rPr>
                <w:rStyle w:val="Emphasis"/>
              </w:rPr>
              <w:t>Essential knowledge</w:t>
            </w:r>
            <w:r w:rsidRPr="002C125A">
              <w:t xml:space="preserve"> (</w:t>
            </w:r>
            <w:r w:rsidRPr="002C125A">
              <w:rPr>
                <w:rStyle w:val="Emphasis"/>
              </w:rPr>
              <w:t>contd</w:t>
            </w:r>
            <w:r w:rsidRPr="002C125A">
              <w:t>):</w:t>
            </w:r>
          </w:p>
          <w:p w:rsidR="00000000" w:rsidRPr="002C125A" w:rsidP="002C125A">
            <w:pPr>
              <w:pStyle w:val="ListBullet"/>
            </w:pPr>
            <w:r w:rsidRPr="002C125A">
              <w:t xml:space="preserve">Lifestyle and behavioural determinants of Aboriginal and/or Torres Strait Islander welfare and strategies to address them, including: </w:t>
            </w:r>
          </w:p>
          <w:p w:rsidR="00000000" w:rsidRPr="002C125A" w:rsidP="002C125A">
            <w:pPr>
              <w:pStyle w:val="ListBullet2"/>
            </w:pPr>
            <w:r w:rsidRPr="002C125A">
              <w:t>known behaviours that pose a significant risk to Aboriginal and/or Torres Strait Islander people</w:t>
            </w:r>
          </w:p>
          <w:p w:rsidR="00000000" w:rsidRPr="002C125A" w:rsidP="002C125A">
            <w:pPr>
              <w:pStyle w:val="ListBullet2"/>
            </w:pPr>
            <w:r w:rsidRPr="002C125A">
              <w:t xml:space="preserve">Aboriginal and/or Torres Strait Islander lifestyle practices </w:t>
            </w:r>
          </w:p>
          <w:p w:rsidR="00000000" w:rsidRPr="002C125A" w:rsidP="002C125A">
            <w:pPr>
              <w:pStyle w:val="ListBullet2"/>
            </w:pPr>
            <w:r w:rsidRPr="002C125A">
              <w:t>education and promotion of healthy lifestyle practices</w:t>
            </w:r>
          </w:p>
          <w:p w:rsidR="00000000" w:rsidRPr="002C125A" w:rsidP="002C125A">
            <w:pPr>
              <w:pStyle w:val="ListBullet2"/>
            </w:pPr>
            <w:r w:rsidRPr="002C125A">
              <w:t>principles of well being applied to work a</w:t>
            </w:r>
            <w:r w:rsidRPr="002C125A">
              <w:t>nd study practices</w:t>
            </w:r>
          </w:p>
          <w:p w:rsidR="00000000" w:rsidRPr="002C125A" w:rsidP="002C125A">
            <w:pPr>
              <w:pStyle w:val="ListBullet"/>
            </w:pPr>
            <w:r w:rsidRPr="002C125A">
              <w:t>Relevant aspects of the community services and  health care system, including:</w:t>
            </w:r>
          </w:p>
          <w:p w:rsidR="00000000" w:rsidP="002C125A">
            <w:pPr>
              <w:pStyle w:val="ListBullet2"/>
              <w:rPr>
                <w:lang w:val="en-NZ"/>
              </w:rPr>
            </w:pPr>
            <w:r w:rsidRPr="002C125A">
              <w:t>access to benefits</w:t>
            </w:r>
          </w:p>
        </w:tc>
      </w:tr>
      <w:tr w:rsidTr="00092F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rPr>
                <w:rStyle w:val="Emphasis"/>
              </w:rPr>
              <w:t>Essential skills</w:t>
            </w:r>
            <w:r w:rsidRPr="002C125A">
              <w:t>:</w:t>
            </w:r>
          </w:p>
          <w:p w:rsidR="00000000" w:rsidRPr="002C125A" w:rsidP="002C125A">
            <w:pPr>
              <w:pStyle w:val="BodyText"/>
            </w:pPr>
            <w:r w:rsidRPr="002C125A">
              <w:t>It is critical that the candidate demonstrate the ability to:</w:t>
            </w:r>
          </w:p>
          <w:p w:rsidR="00000000" w:rsidRPr="002C125A" w:rsidP="002C125A">
            <w:pPr>
              <w:pStyle w:val="ListBullet"/>
            </w:pPr>
            <w:r w:rsidRPr="002C125A">
              <w:t>Work consistently in a culturally safe manner with and on behalf of Aboriginal and/or Torres Strait Islander clients in line with identified community needs and workplace requirements</w:t>
            </w:r>
          </w:p>
          <w:p w:rsidR="00000000" w:rsidRPr="002C125A" w:rsidP="002C125A">
            <w:pPr>
              <w:pStyle w:val="ListBullet"/>
            </w:pPr>
            <w:r w:rsidRPr="002C125A">
              <w:t>Work with an understanding of the impact of historical, social, politica</w:t>
            </w:r>
            <w:r w:rsidRPr="002C125A">
              <w:t>l, spiritual and environmental factors on the health and well being of Aboriginal and/or Torres Strait Islander people</w:t>
            </w:r>
          </w:p>
          <w:p w:rsidR="00000000" w:rsidRPr="002C125A" w:rsidP="002C125A">
            <w:pPr>
              <w:pStyle w:val="ListBullet"/>
            </w:pPr>
            <w:r w:rsidRPr="002C125A">
              <w:t>Take into account social, political and environmental factors that influence the health and well being of Aboriginal and/or Torres Strait</w:t>
            </w:r>
            <w:r w:rsidRPr="002C125A">
              <w:t xml:space="preserve"> Islander clients</w:t>
            </w:r>
          </w:p>
          <w:p w:rsidR="00000000" w:rsidRPr="002C125A" w:rsidP="002C125A">
            <w:pPr>
              <w:pStyle w:val="BodyText"/>
            </w:pPr>
          </w:p>
          <w:p w:rsidR="00000000" w:rsidRPr="002C125A" w:rsidP="002C125A">
            <w:pPr>
              <w:pStyle w:val="BodyText"/>
            </w:pPr>
            <w:r w:rsidRPr="002C125A">
              <w:t>In addition, the candidate must be able to effectively do the task outlined in elements and performance criteria of this unit, manage the task and manage contingencies in the context of the identified work role</w:t>
            </w:r>
          </w:p>
          <w:p w:rsidR="00000000" w:rsidRPr="002C125A" w:rsidP="002C125A">
            <w:pPr>
              <w:pStyle w:val="BodyText"/>
            </w:pPr>
            <w:r w:rsidRPr="002C125A">
              <w:t>These include the ability to:</w:t>
            </w:r>
          </w:p>
          <w:p w:rsidR="00000000" w:rsidRPr="002C125A" w:rsidP="002C125A">
            <w:pPr>
              <w:pStyle w:val="ListBullet"/>
            </w:pPr>
            <w:r w:rsidRPr="002C125A">
              <w:t>Make appropriate referrals, providing accurate and relevant details to clients and referral agencies</w:t>
            </w:r>
          </w:p>
          <w:p w:rsidR="00000000" w:rsidRPr="002C125A" w:rsidP="002C125A">
            <w:pPr>
              <w:pStyle w:val="ListBullet"/>
            </w:pPr>
            <w:r w:rsidRPr="002C125A">
              <w:t>Reflect on and improve own level and application of skills and knowledge to achieve desirable outcomes and maintain own capab</w:t>
            </w:r>
            <w:r w:rsidRPr="002C125A">
              <w:t>ilities</w:t>
            </w:r>
          </w:p>
          <w:p w:rsidR="00000000" w:rsidRPr="002C125A" w:rsidP="002C125A">
            <w:pPr>
              <w:pStyle w:val="ListBullet"/>
            </w:pPr>
            <w:r w:rsidRPr="002C125A">
              <w:t>Determine potential relational issues and conflicts between work role and community role</w:t>
            </w:r>
          </w:p>
          <w:p w:rsidR="00000000" w:rsidRPr="002C125A" w:rsidP="002C125A">
            <w:pPr>
              <w:pStyle w:val="ListBullet"/>
            </w:pPr>
            <w:r w:rsidRPr="002C125A">
              <w:t>Apply language, literacy and numeracy competence appropriate to the work role and the relevant Aboriginal and/or Torres Strait Islander community</w:t>
            </w:r>
          </w:p>
        </w:tc>
      </w:tr>
    </w:tbl>
    <w:p w:rsidR="00092F29" w:rsidP="002C125A">
      <w:pPr>
        <w:pStyle w:val="BodyText"/>
      </w:pPr>
    </w:p>
    <w:p w:rsidR="00092F29" w:rsidP="002C125A">
      <w:pPr>
        <w:pStyle w:val="BodyText"/>
      </w:pPr>
    </w:p>
    <w:p w:rsidR="00000000" w:rsidRPr="002C125A" w:rsidP="002C125A">
      <w:pPr>
        <w:pStyle w:val="Heading1"/>
      </w:pPr>
      <w:bookmarkStart w:id="10" w:name="O_241557"/>
      <w:bookmarkEnd w:id="10"/>
      <w:r w:rsidRPr="002C125A">
        <w:t>Evidence Guide</w:t>
      </w:r>
    </w:p>
    <w:tbl>
      <w:tblPr>
        <w:tblW w:w="0" w:type="auto"/>
        <w:tblLayout w:type="fixed"/>
        <w:tblCellMar>
          <w:left w:w="62" w:type="dxa"/>
          <w:right w:w="62" w:type="dxa"/>
        </w:tblCellMar>
        <w:tblLook w:val="0000"/>
      </w:tblPr>
      <w:tblGrid>
        <w:gridCol w:w="3402"/>
        <w:gridCol w:w="5670"/>
      </w:tblGrid>
      <w:tr w:rsidTr="00092F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SpecialBold"/>
              </w:rPr>
              <w:t>EVIDENCE GUIDE</w:t>
            </w:r>
          </w:p>
        </w:tc>
      </w:tr>
      <w:tr w:rsidTr="00092F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t xml:space="preserve">The evidence guide provides advice on assessment and must be read in conjunction with the Performance Criteria, Required Skills and Knowledge, </w:t>
            </w:r>
            <w:r w:rsidRPr="002C125A">
              <w:t>the Range Statement and the Assessment Guidelines for this Training Package.</w:t>
            </w:r>
          </w:p>
        </w:tc>
      </w:tr>
      <w:tr w:rsidTr="00092F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Critical aspects of assessment</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The individual being assessed must provide evidence of specified essential knowledge as well as skills</w:t>
            </w:r>
          </w:p>
          <w:p w:rsidR="00000000" w:rsidRPr="002C125A" w:rsidP="002C125A">
            <w:pPr>
              <w:pStyle w:val="ListBullet"/>
            </w:pPr>
            <w:r w:rsidRPr="002C125A">
              <w:t>This unit is most appropriately assesse</w:t>
            </w:r>
            <w:r w:rsidRPr="002C125A">
              <w:t>d in the workplace or in a simulated workplace setting under the normal range of workplace conditions</w:t>
            </w:r>
          </w:p>
          <w:p w:rsidR="00000000" w:rsidP="002C125A">
            <w:pPr>
              <w:pStyle w:val="ListBullet"/>
              <w:rPr>
                <w:lang w:val="en-NZ"/>
              </w:rPr>
            </w:pPr>
            <w:r w:rsidRPr="002C125A">
              <w:t>Assessment must demonstrate consistency of application of skills and knowledge described in this unit of competency</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Access and equity considerations</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All workers in community services should be aware of access, equity and human rights issues in relation to their own area of work</w:t>
            </w:r>
          </w:p>
          <w:p w:rsidR="00000000" w:rsidRPr="002C125A" w:rsidP="002C125A">
            <w:pPr>
              <w:pStyle w:val="ListBullet"/>
            </w:pPr>
            <w:r w:rsidRPr="002C125A">
              <w:t xml:space="preserve">All workers should develop their ability to work in a culturally diverse environment </w:t>
            </w:r>
          </w:p>
          <w:p w:rsidR="00000000" w:rsidRPr="002C125A" w:rsidP="002C125A">
            <w:pPr>
              <w:pStyle w:val="ListBullet"/>
            </w:pPr>
            <w:r w:rsidRPr="002C125A">
              <w:t>In recognition of particular issues faci</w:t>
            </w:r>
            <w:r w:rsidRPr="002C125A">
              <w:t>ng Aboriginal and/or Torres Strait Islander communities, workers should be aware of cultural, historical and current issues impacting on Aboriginal and/or Torres Strait Islander people</w:t>
            </w:r>
          </w:p>
          <w:p w:rsidR="00000000" w:rsidP="002C125A">
            <w:pPr>
              <w:pStyle w:val="ListBullet"/>
              <w:rPr>
                <w:lang w:val="en-NZ"/>
              </w:rPr>
            </w:pPr>
            <w:r w:rsidRPr="002C125A">
              <w:t>Assessors and trainers must take into account relevant access and equit</w:t>
            </w:r>
            <w:r w:rsidRPr="002C125A">
              <w:t>y issues, in particular relating to factors impacting on Aboriginal and/or Torres Strait Islander clients and communities</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Context of and specific resources for assessment</w:t>
            </w:r>
            <w:r w:rsidRPr="002C125A">
              <w:t xml:space="preserve">: </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This unit can be assessed independently, however holistic assessment practice w</w:t>
            </w:r>
            <w:r w:rsidRPr="002C125A">
              <w:t>ith other community services units of competency is encouraged</w:t>
            </w:r>
          </w:p>
          <w:p w:rsidR="00000000" w:rsidP="002C125A">
            <w:pPr>
              <w:pStyle w:val="ListBullet"/>
              <w:rPr>
                <w:lang w:val="en-NZ"/>
              </w:rPr>
            </w:pPr>
            <w:r w:rsidRPr="002C125A">
              <w:t>Resources required for assessment include access to relevant workplace or simulated realistic workplace setting where assessment may take place</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Method of assessment</w:t>
            </w:r>
            <w:r w:rsidRPr="002C125A">
              <w:t>:</w:t>
            </w:r>
          </w:p>
        </w:tc>
        <w:tc>
          <w:tcPr>
            <w:tcW w:w="5670" w:type="dxa"/>
            <w:tcBorders>
              <w:top w:val="nil"/>
              <w:left w:val="nil"/>
              <w:bottom w:val="nil"/>
              <w:right w:val="nil"/>
            </w:tcBorders>
            <w:tcMar>
              <w:top w:w="0" w:type="dxa"/>
              <w:left w:w="62" w:type="dxa"/>
              <w:bottom w:w="0" w:type="dxa"/>
              <w:right w:w="62" w:type="dxa"/>
            </w:tcMar>
          </w:tcPr>
          <w:p w:rsidR="00000000" w:rsidP="002C125A">
            <w:pPr>
              <w:pStyle w:val="ListBullet"/>
              <w:rPr>
                <w:lang w:val="en-NZ"/>
              </w:rPr>
            </w:pPr>
            <w:r w:rsidRPr="002C125A">
              <w:t>Assessment may include observation, questioning and evidence gathered from a workplace environment</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BodyText"/>
            </w:pPr>
          </w:p>
        </w:tc>
      </w:tr>
    </w:tbl>
    <w:p w:rsidR="00092F29" w:rsidP="002C125A">
      <w:pPr>
        <w:pStyle w:val="BodyText"/>
      </w:pPr>
    </w:p>
    <w:p w:rsidR="00092F29" w:rsidP="002C125A">
      <w:pPr>
        <w:pStyle w:val="BodyText"/>
      </w:pPr>
    </w:p>
    <w:p w:rsidR="00000000" w:rsidRPr="002C125A" w:rsidP="002C125A">
      <w:pPr>
        <w:pStyle w:val="Heading1"/>
      </w:pPr>
      <w:bookmarkStart w:id="11" w:name="O_249540"/>
      <w:bookmarkEnd w:id="11"/>
      <w:r w:rsidRPr="002C125A">
        <w:t>Range Statement</w:t>
      </w:r>
    </w:p>
    <w:tbl>
      <w:tblPr>
        <w:tblW w:w="0" w:type="auto"/>
        <w:tblLayout w:type="fixed"/>
        <w:tblCellMar>
          <w:left w:w="62" w:type="dxa"/>
          <w:right w:w="62" w:type="dxa"/>
        </w:tblCellMar>
        <w:tblLook w:val="0000"/>
      </w:tblPr>
      <w:tblGrid>
        <w:gridCol w:w="3402"/>
        <w:gridCol w:w="5670"/>
      </w:tblGrid>
      <w:tr w:rsidTr="00092F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SpecialBold"/>
              </w:rPr>
              <w:t>RANGE STATEMENT</w:t>
            </w:r>
          </w:p>
        </w:tc>
      </w:tr>
      <w:tr w:rsidTr="00092F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t>The Range Statement relates to the unit of competency as a whole. It allows for different work environments and situations that may affect performance. Add any essential operating conditions that may be present with training and assessment depending on the</w:t>
            </w:r>
            <w:r w:rsidRPr="002C125A">
              <w:t xml:space="preserve"> work situation, needs of the candidate, accessibility of the item, and local industry and regional contexts.</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BodyText"/>
            </w:pPr>
            <w:r w:rsidRPr="002C125A">
              <w:t xml:space="preserve">This unit of competency supports the recognition, protection and continued advancement of the inherent rights, cultures and </w:t>
            </w:r>
            <w:r w:rsidRPr="002C125A">
              <w:t>traditions of Aboriginal and/or Torres Strait Islander peoples</w:t>
            </w:r>
          </w:p>
          <w:p w:rsidR="00000000" w:rsidRPr="002C125A" w:rsidP="002C125A">
            <w:pPr>
              <w:pStyle w:val="BodyText"/>
            </w:pPr>
            <w:r w:rsidRPr="002C125A">
              <w:t>It recognises that the improvement of the health and well being status of Aboriginal and/or Torres Strait Islander people must include attention to physical, spiritual, cultural, emotional and social well being, community capacity, self-determination and g</w:t>
            </w:r>
            <w:r w:rsidRPr="002C125A">
              <w:t>overnance</w:t>
            </w:r>
          </w:p>
          <w:p w:rsidR="00000000" w:rsidP="002C125A">
            <w:pPr>
              <w:pStyle w:val="BodyText"/>
              <w:rPr>
                <w:lang w:val="en-NZ"/>
              </w:rPr>
            </w:pPr>
            <w:r w:rsidRPr="002C125A">
              <w:t>Its application must be culturally sensitive and supportive of traditional healing and health, knowledge and practices</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The history of Aboriginal and</w:t>
            </w:r>
            <w:r w:rsidRPr="002C125A">
              <w:t>/</w:t>
            </w:r>
            <w:r w:rsidRPr="002C125A">
              <w:rPr>
                <w:rStyle w:val="Emphasis"/>
              </w:rPr>
              <w:t>or Torres Strait Islander people includes</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Aboriginal and/or Torres Strait Islander customs a</w:t>
            </w:r>
            <w:r w:rsidRPr="002C125A">
              <w:t>nd lifestyle before European colonisation</w:t>
            </w:r>
          </w:p>
          <w:p w:rsidR="00000000" w:rsidRPr="002C125A" w:rsidP="002C125A">
            <w:pPr>
              <w:pStyle w:val="ListBullet"/>
            </w:pPr>
            <w:r w:rsidRPr="002C125A">
              <w:t>Aboriginal and/or Torres Strait Islander experience of colonisation and invasion</w:t>
            </w:r>
          </w:p>
          <w:p w:rsidR="00000000" w:rsidRPr="002C125A" w:rsidP="002C125A">
            <w:pPr>
              <w:pStyle w:val="ListBullet"/>
            </w:pPr>
            <w:r w:rsidRPr="002C125A">
              <w:t>Post-colonial legacy of social and economic disadvantage</w:t>
            </w:r>
          </w:p>
          <w:p w:rsidR="00000000" w:rsidRPr="002C125A" w:rsidP="002C125A">
            <w:pPr>
              <w:pStyle w:val="ListBullet"/>
            </w:pPr>
            <w:r w:rsidRPr="002C125A">
              <w:t>Survival and maintenance of culture, kinship and connection with the land</w:t>
            </w:r>
          </w:p>
          <w:p w:rsidR="00000000" w:rsidP="002C125A">
            <w:pPr>
              <w:pStyle w:val="ListBullet"/>
              <w:rPr>
                <w:lang w:val="en-NZ"/>
              </w:rPr>
            </w:pPr>
            <w:r w:rsidRPr="002C125A">
              <w:t>Ev</w:t>
            </w:r>
            <w:r w:rsidRPr="002C125A">
              <w:t>olution and scope of the role of the Aboriginal health worker up to the contemporary context</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Community control refers to</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Community participation and control in decision-making is essential to all aspects of community services work, and the role of the</w:t>
            </w:r>
            <w:r w:rsidRPr="002C125A">
              <w:t xml:space="preserve"> community services worker is to support the community and/or key decision-makers in this process</w:t>
            </w:r>
          </w:p>
          <w:p w:rsidR="00000000" w:rsidRPr="002C125A" w:rsidP="002C125A">
            <w:pPr>
              <w:pStyle w:val="ListBullet"/>
            </w:pPr>
            <w:r w:rsidRPr="002C125A">
              <w:t>Aboriginal and/or Torres Strait Islander community control is:</w:t>
            </w:r>
          </w:p>
          <w:p w:rsidR="00000000" w:rsidRPr="002C125A" w:rsidP="002C125A">
            <w:pPr>
              <w:pStyle w:val="ListBullet2"/>
            </w:pPr>
            <w:r w:rsidRPr="002C125A">
              <w:t xml:space="preserve">the guiding principle and model for the delivery of services to Aboriginal and/or Torres </w:t>
            </w:r>
            <w:r w:rsidRPr="002C125A">
              <w:t>Strait Islander people</w:t>
            </w:r>
          </w:p>
          <w:p w:rsidR="00000000" w:rsidRPr="002C125A" w:rsidP="002C125A">
            <w:pPr>
              <w:pStyle w:val="ListBullet2"/>
            </w:pPr>
            <w:r w:rsidRPr="002C125A">
              <w:t>a sector of the Australian community services industry with its own history</w:t>
            </w:r>
          </w:p>
          <w:p w:rsidR="00000000" w:rsidRPr="002C125A" w:rsidP="002C125A">
            <w:pPr>
              <w:pStyle w:val="ListBullet2"/>
            </w:pPr>
            <w:r w:rsidRPr="002C125A">
              <w:t>a practice which underpins Aboriginal community strengthening and survival</w:t>
            </w:r>
          </w:p>
          <w:p w:rsidR="00000000" w:rsidP="002C125A">
            <w:pPr>
              <w:pStyle w:val="ListBullet2"/>
              <w:rPr>
                <w:lang w:val="en-NZ"/>
              </w:rPr>
            </w:pPr>
            <w:r w:rsidRPr="002C125A">
              <w:t>a statement of self-determination</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Agencies and associated community services m</w:t>
            </w:r>
            <w:r w:rsidRPr="002C125A">
              <w:rPr>
                <w:rStyle w:val="Emphasis"/>
              </w:rPr>
              <w:t>ay include</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 xml:space="preserve">Community controlled health services </w:t>
            </w:r>
          </w:p>
          <w:p w:rsidR="00000000" w:rsidRPr="002C125A" w:rsidP="002C125A">
            <w:pPr>
              <w:pStyle w:val="ListBullet"/>
            </w:pPr>
            <w:r w:rsidRPr="002C125A">
              <w:t>Women's/men's centres</w:t>
            </w:r>
          </w:p>
          <w:p w:rsidR="00000000" w:rsidRPr="002C125A" w:rsidP="002C125A">
            <w:pPr>
              <w:pStyle w:val="ListBullet"/>
            </w:pPr>
            <w:r w:rsidRPr="002C125A">
              <w:t>Government health services</w:t>
            </w:r>
          </w:p>
          <w:p w:rsidR="00000000" w:rsidRPr="002C125A" w:rsidP="002C125A">
            <w:pPr>
              <w:pStyle w:val="ListBullet"/>
            </w:pPr>
            <w:r w:rsidRPr="002C125A">
              <w:t>Welfare agencies</w:t>
            </w:r>
          </w:p>
          <w:p w:rsidR="00000000" w:rsidRPr="002C125A" w:rsidP="002C125A">
            <w:pPr>
              <w:pStyle w:val="ListBullet"/>
            </w:pPr>
            <w:r w:rsidRPr="002C125A">
              <w:t>Emergency services</w:t>
            </w:r>
          </w:p>
          <w:p w:rsidR="00000000" w:rsidRPr="002C125A" w:rsidP="002C125A">
            <w:pPr>
              <w:pStyle w:val="ListBullet"/>
            </w:pPr>
            <w:r w:rsidRPr="002C125A">
              <w:t>Police</w:t>
            </w:r>
          </w:p>
          <w:p w:rsidR="00000000" w:rsidRPr="002C125A" w:rsidP="002C125A">
            <w:pPr>
              <w:pStyle w:val="ListBullet"/>
            </w:pPr>
            <w:r w:rsidRPr="002C125A">
              <w:t>Education and training organisations</w:t>
            </w:r>
          </w:p>
          <w:p w:rsidR="00000000" w:rsidRPr="002C125A" w:rsidP="002C125A">
            <w:pPr>
              <w:pStyle w:val="ListBullet"/>
            </w:pPr>
            <w:r w:rsidRPr="002C125A">
              <w:t>Non-government and private enterprise</w:t>
            </w:r>
          </w:p>
          <w:p w:rsidR="00000000" w:rsidRPr="002C125A" w:rsidP="002C125A">
            <w:pPr>
              <w:pStyle w:val="ListBullet"/>
            </w:pPr>
            <w:r w:rsidRPr="002C125A">
              <w:t>Community Government Councils</w:t>
            </w:r>
          </w:p>
          <w:p w:rsidR="00000000" w:rsidRPr="002C125A" w:rsidP="002C125A">
            <w:pPr>
              <w:pStyle w:val="ListBullet"/>
            </w:pPr>
            <w:r w:rsidRPr="002C125A">
              <w:t>Elected community organisations</w:t>
            </w:r>
          </w:p>
          <w:p w:rsidR="00000000" w:rsidRPr="002C125A" w:rsidP="002C125A">
            <w:pPr>
              <w:pStyle w:val="ListBullet"/>
            </w:pPr>
            <w:r w:rsidRPr="002C125A">
              <w:t>Homeland/outstation service providers</w:t>
            </w:r>
          </w:p>
          <w:p w:rsidR="00000000" w:rsidP="002C125A">
            <w:pPr>
              <w:pStyle w:val="ListBullet"/>
              <w:rPr>
                <w:lang w:val="en-NZ"/>
              </w:rPr>
            </w:pPr>
            <w:r w:rsidRPr="002C125A">
              <w:t>Churches</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Cultural safety refers to</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Maintaining the traditional and contemporary protection of Aboriginal and/or Torres Strait Islander communities':</w:t>
            </w:r>
          </w:p>
          <w:p w:rsidR="00000000" w:rsidRPr="002C125A" w:rsidP="002C125A">
            <w:pPr>
              <w:pStyle w:val="ListBullet2"/>
            </w:pPr>
            <w:r w:rsidRPr="002C125A">
              <w:t>intellectual property</w:t>
            </w:r>
          </w:p>
          <w:p w:rsidR="00000000" w:rsidRPr="002C125A" w:rsidP="002C125A">
            <w:pPr>
              <w:pStyle w:val="ListBullet2"/>
            </w:pPr>
            <w:r w:rsidRPr="002C125A">
              <w:t>human rights</w:t>
            </w:r>
          </w:p>
          <w:p w:rsidR="00000000" w:rsidRPr="002C125A" w:rsidP="002C125A">
            <w:pPr>
              <w:pStyle w:val="ListBullet2"/>
            </w:pPr>
            <w:r w:rsidRPr="002C125A">
              <w:t>resources</w:t>
            </w:r>
          </w:p>
          <w:p w:rsidR="00000000" w:rsidRPr="002C125A" w:rsidP="002C125A">
            <w:pPr>
              <w:pStyle w:val="ListBullet2"/>
            </w:pPr>
            <w:r w:rsidRPr="002C125A">
              <w:t>ownership of materials</w:t>
            </w:r>
          </w:p>
          <w:p w:rsidR="00000000" w:rsidP="002C125A">
            <w:pPr>
              <w:pStyle w:val="ListBullet"/>
              <w:rPr>
                <w:lang w:val="en-NZ"/>
              </w:rPr>
            </w:pPr>
            <w:r w:rsidRPr="002C125A">
              <w:t>Community and self-protection of Aboriginal and/or Torres Strait Islander workers</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Cultural factors that may produce stress include</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Community and/or own expectations that may involve, for example:</w:t>
            </w:r>
          </w:p>
          <w:p w:rsidR="00000000" w:rsidRPr="002C125A" w:rsidP="002C125A">
            <w:pPr>
              <w:pStyle w:val="ListBullet2"/>
            </w:pPr>
            <w:r w:rsidRPr="002C125A">
              <w:t>extended</w:t>
            </w:r>
            <w:r w:rsidRPr="002C125A">
              <w:t xml:space="preserve"> work hours</w:t>
            </w:r>
          </w:p>
          <w:p w:rsidR="00000000" w:rsidRPr="002C125A" w:rsidP="002C125A">
            <w:pPr>
              <w:pStyle w:val="ListBullet2"/>
            </w:pPr>
            <w:r w:rsidRPr="002C125A">
              <w:t>functions outside health work role</w:t>
            </w:r>
          </w:p>
          <w:p w:rsidR="00000000" w:rsidRPr="002C125A" w:rsidP="002C125A">
            <w:pPr>
              <w:pStyle w:val="ListBullet2"/>
            </w:pPr>
            <w:r w:rsidRPr="002C125A">
              <w:t>unrealistic accountability/responsibility for resolving community problems</w:t>
            </w:r>
          </w:p>
          <w:p w:rsidR="00000000" w:rsidRPr="002C125A" w:rsidP="002C125A">
            <w:pPr>
              <w:pStyle w:val="ListBullet2"/>
            </w:pPr>
            <w:r w:rsidRPr="002C125A">
              <w:t>community and family pressures</w:t>
            </w:r>
          </w:p>
          <w:p w:rsidR="00000000" w:rsidRPr="002C125A" w:rsidP="002C125A">
            <w:pPr>
              <w:pStyle w:val="ListBullet2"/>
            </w:pPr>
            <w:r w:rsidRPr="002C125A">
              <w:t>conflict between work role and community and family responsibilities</w:t>
            </w:r>
          </w:p>
          <w:p w:rsidR="00000000" w:rsidRPr="002C125A" w:rsidP="002C125A">
            <w:pPr>
              <w:pStyle w:val="ListBullet"/>
            </w:pPr>
            <w:r w:rsidRPr="002C125A">
              <w:t>Multiple accountabilities to employer, family, personal and community</w:t>
            </w:r>
          </w:p>
          <w:p w:rsidR="00000000" w:rsidP="002C125A">
            <w:pPr>
              <w:pStyle w:val="ListBullet"/>
              <w:rPr>
                <w:lang w:val="en-NZ"/>
              </w:rPr>
            </w:pPr>
            <w:r w:rsidRPr="002C125A">
              <w:t>Conflict between community and family responsibilities and obligations and work role</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Organisation policies and regulatory requirements may include</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Privacy and confidentiality guidelines</w:t>
            </w:r>
          </w:p>
          <w:p w:rsidR="00000000" w:rsidRPr="002C125A" w:rsidP="002C125A">
            <w:pPr>
              <w:pStyle w:val="ListBullet"/>
            </w:pPr>
            <w:r w:rsidRPr="002C125A">
              <w:t>Treatment manuals</w:t>
            </w:r>
          </w:p>
          <w:p w:rsidR="00000000" w:rsidRPr="002C125A" w:rsidP="002C125A">
            <w:pPr>
              <w:pStyle w:val="ListBullet"/>
            </w:pPr>
            <w:r w:rsidRPr="002C125A">
              <w:t>Occupational health and safety (OHS) guidelines</w:t>
            </w:r>
          </w:p>
          <w:p w:rsidR="00000000" w:rsidP="002C125A">
            <w:pPr>
              <w:pStyle w:val="ListBullet"/>
              <w:rPr>
                <w:lang w:val="en-NZ"/>
              </w:rPr>
            </w:pPr>
            <w:r w:rsidRPr="002C125A">
              <w:t>Infection control guidelines</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Barriers to access and equity in relation to Aboriginal and</w:t>
            </w:r>
            <w:r w:rsidRPr="002C125A">
              <w:t>/</w:t>
            </w:r>
            <w:r w:rsidRPr="002C125A">
              <w:rPr>
                <w:rStyle w:val="Emphasis"/>
              </w:rPr>
              <w:t>or Torres Strait Islander services may include</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Racism, in</w:t>
            </w:r>
            <w:r w:rsidRPr="002C125A">
              <w:t>cluding community and institutionalised racism</w:t>
            </w:r>
          </w:p>
          <w:p w:rsidR="00000000" w:rsidRPr="002C125A" w:rsidP="002C125A">
            <w:pPr>
              <w:pStyle w:val="ListBullet"/>
            </w:pPr>
            <w:r w:rsidRPr="002C125A">
              <w:t>Discrimination</w:t>
            </w:r>
          </w:p>
          <w:p w:rsidR="00000000" w:rsidRPr="002C125A" w:rsidP="002C125A">
            <w:pPr>
              <w:pStyle w:val="ListBullet"/>
            </w:pPr>
            <w:r w:rsidRPr="002C125A">
              <w:t>Socioeconomic status</w:t>
            </w:r>
          </w:p>
          <w:p w:rsidR="00000000" w:rsidRPr="002C125A" w:rsidP="002C125A">
            <w:pPr>
              <w:pStyle w:val="ListBullet"/>
            </w:pPr>
            <w:r w:rsidRPr="002C125A">
              <w:t>Access to essential services and infrastructure</w:t>
            </w:r>
          </w:p>
          <w:p w:rsidR="00000000" w:rsidRPr="002C125A" w:rsidP="002C125A">
            <w:pPr>
              <w:pStyle w:val="ListBullet"/>
            </w:pPr>
            <w:r w:rsidRPr="002C125A">
              <w:t>Lack of coordination of government at all levels</w:t>
            </w:r>
          </w:p>
          <w:p w:rsidR="00000000" w:rsidRPr="002C125A" w:rsidP="002C125A">
            <w:pPr>
              <w:pStyle w:val="ListBullet"/>
            </w:pPr>
            <w:r w:rsidRPr="002C125A">
              <w:t>Inadequate resources/funding</w:t>
            </w:r>
          </w:p>
          <w:p w:rsidR="00000000" w:rsidRPr="002C125A" w:rsidP="002C125A">
            <w:pPr>
              <w:pStyle w:val="ListBullet"/>
            </w:pPr>
            <w:r w:rsidRPr="002C125A">
              <w:t>Lack of community control and ownership</w:t>
            </w:r>
          </w:p>
          <w:p w:rsidR="00000000" w:rsidRPr="002C125A" w:rsidP="002C125A">
            <w:pPr>
              <w:pStyle w:val="ListBullet"/>
            </w:pPr>
            <w:r w:rsidRPr="002C125A">
              <w:t>Lack of</w:t>
            </w:r>
            <w:r w:rsidRPr="002C125A">
              <w:t xml:space="preserve"> political leverage </w:t>
            </w:r>
          </w:p>
          <w:p w:rsidR="00000000" w:rsidRPr="002C125A" w:rsidP="002C125A">
            <w:pPr>
              <w:pStyle w:val="ListBullet"/>
            </w:pPr>
            <w:r w:rsidRPr="002C125A">
              <w:t>Language barriers</w:t>
            </w:r>
          </w:p>
          <w:p w:rsidR="00000000" w:rsidRPr="002C125A" w:rsidP="002C125A">
            <w:pPr>
              <w:pStyle w:val="ListBullet"/>
            </w:pPr>
            <w:r w:rsidRPr="002C125A">
              <w:t>Disease focus of mainstream health care delivery</w:t>
            </w:r>
          </w:p>
          <w:p w:rsidR="00000000" w:rsidRPr="002C125A" w:rsidP="002C125A">
            <w:pPr>
              <w:pStyle w:val="ListBullet"/>
            </w:pPr>
            <w:r w:rsidRPr="002C125A">
              <w:t>Differences in concept of ill health</w:t>
            </w:r>
          </w:p>
          <w:p w:rsidR="00000000" w:rsidRPr="002C125A" w:rsidP="002C125A">
            <w:pPr>
              <w:pStyle w:val="ListBullet"/>
            </w:pPr>
            <w:r w:rsidRPr="002C125A">
              <w:t>Geographic access to Primary Health Care and specialist health services</w:t>
            </w:r>
          </w:p>
          <w:p w:rsidR="00000000" w:rsidRPr="002C125A" w:rsidP="002C125A">
            <w:pPr>
              <w:pStyle w:val="ListBullet"/>
            </w:pPr>
            <w:r w:rsidRPr="002C125A">
              <w:t>Cultural barriers, such as family and kinship barriers</w:t>
            </w:r>
          </w:p>
          <w:p w:rsidR="00000000" w:rsidP="002C125A">
            <w:pPr>
              <w:pStyle w:val="ListBullet"/>
              <w:rPr>
                <w:lang w:val="en-NZ"/>
              </w:rPr>
            </w:pPr>
            <w:r w:rsidRPr="002C125A">
              <w:t>Language/literacy</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Social</w:t>
            </w:r>
            <w:r w:rsidRPr="002C125A">
              <w:t xml:space="preserve">, </w:t>
            </w:r>
            <w:r w:rsidRPr="002C125A">
              <w:rPr>
                <w:rStyle w:val="Emphasis"/>
              </w:rPr>
              <w:t>political</w:t>
            </w:r>
            <w:r w:rsidRPr="002C125A">
              <w:t xml:space="preserve">, </w:t>
            </w:r>
            <w:r w:rsidRPr="002C125A">
              <w:rPr>
                <w:rStyle w:val="Emphasis"/>
              </w:rPr>
              <w:t>economic and environmental factors that impact on Aboriginal and</w:t>
            </w:r>
            <w:r w:rsidRPr="002C125A">
              <w:t>/</w:t>
            </w:r>
            <w:r w:rsidRPr="002C125A">
              <w:rPr>
                <w:rStyle w:val="Emphasis"/>
              </w:rPr>
              <w:t>or Torres Strait Islander health include</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Health outcomes</w:t>
            </w:r>
          </w:p>
          <w:p w:rsidR="00000000" w:rsidRPr="002C125A" w:rsidP="002C125A">
            <w:pPr>
              <w:pStyle w:val="ListBullet"/>
            </w:pPr>
            <w:r w:rsidRPr="002C125A">
              <w:t>Stolen generations</w:t>
            </w:r>
          </w:p>
          <w:p w:rsidR="00000000" w:rsidRPr="002C125A" w:rsidP="002C125A">
            <w:pPr>
              <w:pStyle w:val="ListBullet"/>
            </w:pPr>
            <w:r w:rsidRPr="002C125A">
              <w:t>Colonisation and invasion</w:t>
            </w:r>
          </w:p>
          <w:p w:rsidR="00000000" w:rsidRPr="002C125A" w:rsidP="002C125A">
            <w:pPr>
              <w:pStyle w:val="ListBullet"/>
            </w:pPr>
            <w:r w:rsidRPr="002C125A">
              <w:t>Land rights and native title</w:t>
            </w:r>
          </w:p>
          <w:p w:rsidR="00000000" w:rsidRPr="002C125A" w:rsidP="002C125A">
            <w:pPr>
              <w:pStyle w:val="ListBullet"/>
            </w:pPr>
            <w:r w:rsidRPr="002C125A">
              <w:t>Dispossession</w:t>
            </w:r>
          </w:p>
          <w:p w:rsidR="00000000" w:rsidRPr="002C125A" w:rsidP="002C125A">
            <w:pPr>
              <w:pStyle w:val="ListBullet"/>
            </w:pPr>
            <w:r w:rsidRPr="002C125A">
              <w:t>Acts</w:t>
            </w:r>
            <w:r w:rsidRPr="002C125A">
              <w:t xml:space="preserve"> of government including assimilation policies</w:t>
            </w:r>
          </w:p>
          <w:p w:rsidR="00000000" w:rsidRPr="002C125A" w:rsidP="002C125A">
            <w:pPr>
              <w:pStyle w:val="ListBullet"/>
            </w:pPr>
            <w:r w:rsidRPr="002C125A">
              <w:t>Racism and discrimination</w:t>
            </w:r>
          </w:p>
          <w:p w:rsidR="00000000" w:rsidRPr="002C125A" w:rsidP="002C125A">
            <w:pPr>
              <w:pStyle w:val="ListBullet"/>
            </w:pPr>
            <w:r w:rsidRPr="002C125A">
              <w:t>Media</w:t>
            </w:r>
          </w:p>
          <w:p w:rsidR="00000000" w:rsidRPr="002C125A" w:rsidP="002C125A">
            <w:pPr>
              <w:pStyle w:val="ListBullet"/>
            </w:pPr>
            <w:r w:rsidRPr="002C125A">
              <w:t>Employment</w:t>
            </w:r>
          </w:p>
          <w:p w:rsidR="00000000" w:rsidRPr="002C125A" w:rsidP="002C125A">
            <w:pPr>
              <w:pStyle w:val="ListBullet"/>
            </w:pPr>
            <w:r w:rsidRPr="002C125A">
              <w:t>Poverty</w:t>
            </w:r>
          </w:p>
          <w:p w:rsidR="00000000" w:rsidRPr="002C125A" w:rsidP="002C125A">
            <w:pPr>
              <w:pStyle w:val="ListBullet"/>
            </w:pPr>
            <w:r w:rsidRPr="002C125A">
              <w:t>Mortality/morbidity</w:t>
            </w:r>
          </w:p>
          <w:p w:rsidR="00000000" w:rsidRPr="002C125A" w:rsidP="002C125A">
            <w:pPr>
              <w:pStyle w:val="ListBullet"/>
            </w:pPr>
            <w:r w:rsidRPr="002C125A">
              <w:t>Police-community relations</w:t>
            </w:r>
          </w:p>
          <w:p w:rsidR="00000000" w:rsidRPr="002C125A" w:rsidP="002C125A">
            <w:pPr>
              <w:pStyle w:val="ListBullet"/>
            </w:pPr>
            <w:r w:rsidRPr="002C125A">
              <w:t>Housing</w:t>
            </w:r>
          </w:p>
          <w:p w:rsidR="00000000" w:rsidRPr="002C125A" w:rsidP="002C125A">
            <w:pPr>
              <w:pStyle w:val="ListBullet"/>
            </w:pPr>
            <w:r w:rsidRPr="002C125A">
              <w:t>Education</w:t>
            </w:r>
          </w:p>
          <w:p w:rsidR="00000000" w:rsidRPr="002C125A" w:rsidP="002C125A">
            <w:pPr>
              <w:pStyle w:val="ListBullet"/>
            </w:pPr>
            <w:r w:rsidRPr="002C125A">
              <w:t>Substance misuse</w:t>
            </w:r>
          </w:p>
          <w:p w:rsidR="00000000" w:rsidRPr="002C125A" w:rsidP="002C125A">
            <w:pPr>
              <w:pStyle w:val="ListBullet"/>
            </w:pPr>
            <w:r w:rsidRPr="002C125A">
              <w:t xml:space="preserve">Acculturation </w:t>
            </w:r>
          </w:p>
          <w:p w:rsidR="00000000" w:rsidRPr="002C125A" w:rsidP="002C125A">
            <w:pPr>
              <w:pStyle w:val="ListBullet"/>
            </w:pPr>
            <w:r w:rsidRPr="002C125A">
              <w:t>Political leverage</w:t>
            </w:r>
          </w:p>
          <w:p w:rsidR="00000000" w:rsidP="002C125A">
            <w:pPr>
              <w:pStyle w:val="ListBullet"/>
              <w:rPr>
                <w:lang w:val="en-NZ"/>
              </w:rPr>
            </w:pPr>
            <w:r w:rsidRPr="002C125A">
              <w:t>Levels of unintentional injury</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125A">
            <w:pPr>
              <w:pStyle w:val="BodyText"/>
              <w:rPr>
                <w:lang w:val="en-NZ"/>
              </w:rPr>
            </w:pPr>
            <w:r w:rsidRPr="002C125A">
              <w:rPr>
                <w:rStyle w:val="Emphasis"/>
              </w:rPr>
              <w:t>Aboriginal and</w:t>
            </w:r>
            <w:r w:rsidRPr="002C125A">
              <w:t>/</w:t>
            </w:r>
            <w:r w:rsidRPr="002C125A">
              <w:rPr>
                <w:rStyle w:val="Emphasis"/>
              </w:rPr>
              <w:t>or Torres Strait Islander community service</w:t>
            </w:r>
            <w:r w:rsidRPr="002C125A">
              <w:t xml:space="preserve">, </w:t>
            </w:r>
            <w:r w:rsidRPr="002C125A">
              <w:rPr>
                <w:rStyle w:val="Emphasis"/>
              </w:rPr>
              <w:t>strategies</w:t>
            </w:r>
            <w:r w:rsidRPr="002C125A">
              <w:t xml:space="preserve">, </w:t>
            </w:r>
            <w:r w:rsidRPr="002C125A">
              <w:rPr>
                <w:rStyle w:val="Emphasis"/>
              </w:rPr>
              <w:t>policies and resources may include</w:t>
            </w:r>
            <w:r w:rsidRPr="002C125A">
              <w:t>:</w:t>
            </w: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ListBullet"/>
            </w:pPr>
            <w:r w:rsidRPr="002C125A">
              <w:t>National, state/territory and regional Aboriginal and/or Torres Strait Islander strategies, policies, joint planning bodies relevant to a range of c</w:t>
            </w:r>
            <w:r w:rsidRPr="002C125A">
              <w:t>ommunity services</w:t>
            </w:r>
          </w:p>
          <w:p w:rsidR="00000000" w:rsidRPr="002C125A" w:rsidP="002C125A">
            <w:pPr>
              <w:pStyle w:val="ListBullet"/>
            </w:pPr>
            <w:r w:rsidRPr="002C125A">
              <w:t>National Aboriginal and/or Torres Strait Islander Peak Organisation and their state/territory affiliates</w:t>
            </w:r>
          </w:p>
          <w:p w:rsidR="00000000" w:rsidP="002C125A">
            <w:pPr>
              <w:pStyle w:val="ListBullet"/>
              <w:rPr>
                <w:lang w:val="en-NZ"/>
              </w:rPr>
            </w:pPr>
            <w:r w:rsidRPr="002C125A">
              <w:t>Resources available nationally, locally and at the state/territory level</w:t>
            </w:r>
          </w:p>
        </w:tc>
      </w:tr>
      <w:tr w:rsidTr="00092F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C125A" w:rsidP="002C125A">
            <w:pPr>
              <w:pStyle w:val="BodyText"/>
            </w:pPr>
          </w:p>
        </w:tc>
      </w:tr>
    </w:tbl>
    <w:p w:rsidR="00092F29" w:rsidP="002C125A">
      <w:pPr>
        <w:pStyle w:val="BodyText"/>
      </w:pPr>
    </w:p>
    <w:p w:rsidR="00092F29" w:rsidP="002C125A">
      <w:pPr>
        <w:pStyle w:val="BodyText"/>
      </w:pPr>
    </w:p>
    <w:p w:rsidR="00000000" w:rsidRPr="002C125A" w:rsidP="002C125A">
      <w:pPr>
        <w:pStyle w:val="Heading1"/>
      </w:pPr>
      <w:bookmarkStart w:id="12" w:name="O_293845"/>
      <w:bookmarkEnd w:id="12"/>
      <w:r w:rsidRPr="002C125A">
        <w:t>Unit Sector(s)</w:t>
      </w:r>
    </w:p>
    <w:p w:rsidR="00000000" w:rsidRPr="002C125A" w:rsidP="002C125A">
      <w:pPr>
        <w:pStyle w:val="BodyText"/>
      </w:pPr>
      <w:r w:rsidRPr="002C125A">
        <w:t>Not Applicable</w:t>
      </w:r>
    </w:p>
    <w:p w:rsidR="00000000" w:rsidRPr="002C125A" w:rsidP="002C125A"/>
    <w:sectPr w:rsidSect="002C1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F29" w:rsidP="00092F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29" w:rsidP="002C12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2F29" w:rsidP="002C12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2F29" w:rsidP="002C12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5A" w:rsidRPr="00092F29" w:rsidP="00092F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29" w:rsidRPr="002D2AF8" w:rsidP="002C125A">
    <w:pPr>
      <w:pStyle w:val="Header"/>
      <w:framePr w:wrap="around"/>
    </w:pPr>
    <w:r>
      <w:fldChar w:fldCharType="begin"/>
    </w:r>
    <w:r>
      <w:instrText xml:space="preserve"> TITLE   \* MERGEFORMAT </w:instrText>
    </w:r>
    <w:r>
      <w:fldChar w:fldCharType="separate"/>
    </w:r>
    <w:r>
      <w:t>CHCCD420A Work to empower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92F29" w:rsidP="002C1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2B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8B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B4E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25A"/>
    <w:pPr>
      <w:spacing w:before="360" w:after="60"/>
      <w:outlineLvl w:val="0"/>
    </w:pPr>
    <w:rPr>
      <w:sz w:val="32"/>
    </w:rPr>
  </w:style>
  <w:style w:type="paragraph" w:styleId="Heading2">
    <w:name w:val="heading 2"/>
    <w:basedOn w:val="HeadingBase"/>
    <w:next w:val="BodyText"/>
    <w:link w:val="Heading2Char"/>
    <w:qFormat/>
    <w:rsid w:val="002C125A"/>
    <w:pPr>
      <w:keepLines/>
      <w:spacing w:before="240" w:after="120"/>
      <w:outlineLvl w:val="1"/>
    </w:pPr>
    <w:rPr>
      <w:sz w:val="28"/>
      <w:szCs w:val="40"/>
    </w:rPr>
  </w:style>
  <w:style w:type="paragraph" w:styleId="Heading3">
    <w:name w:val="heading 3"/>
    <w:basedOn w:val="HeadingBase"/>
    <w:next w:val="BodyText"/>
    <w:link w:val="Heading3Char"/>
    <w:qFormat/>
    <w:rsid w:val="002C125A"/>
    <w:pPr>
      <w:spacing w:before="180" w:after="120"/>
      <w:outlineLvl w:val="2"/>
    </w:pPr>
    <w:rPr>
      <w:spacing w:val="-10"/>
      <w:kern w:val="32"/>
    </w:rPr>
  </w:style>
  <w:style w:type="paragraph" w:styleId="Heading4">
    <w:name w:val="heading 4"/>
    <w:basedOn w:val="HeadingBase"/>
    <w:next w:val="BodyText"/>
    <w:link w:val="Heading4Char"/>
    <w:qFormat/>
    <w:rsid w:val="002C125A"/>
    <w:pPr>
      <w:spacing w:before="160" w:after="120"/>
      <w:outlineLvl w:val="3"/>
    </w:pPr>
    <w:rPr>
      <w:sz w:val="22"/>
    </w:rPr>
  </w:style>
  <w:style w:type="paragraph" w:styleId="Heading5">
    <w:name w:val="heading 5"/>
    <w:basedOn w:val="HeadingBase"/>
    <w:next w:val="Normal"/>
    <w:link w:val="Heading5Char"/>
    <w:qFormat/>
    <w:rsid w:val="002C125A"/>
    <w:pPr>
      <w:spacing w:before="80"/>
      <w:outlineLvl w:val="4"/>
    </w:pPr>
    <w:rPr>
      <w:color w:val="918585"/>
      <w:sz w:val="20"/>
    </w:rPr>
  </w:style>
  <w:style w:type="paragraph" w:styleId="Heading6">
    <w:name w:val="heading 6"/>
    <w:basedOn w:val="HeadingBase"/>
    <w:next w:val="Normal"/>
    <w:link w:val="Heading6Char"/>
    <w:qFormat/>
    <w:rsid w:val="002C125A"/>
    <w:pPr>
      <w:spacing w:before="60"/>
      <w:outlineLvl w:val="5"/>
    </w:pPr>
    <w:rPr>
      <w:color w:val="918585"/>
      <w:sz w:val="20"/>
    </w:rPr>
  </w:style>
  <w:style w:type="paragraph" w:styleId="Heading7">
    <w:name w:val="heading 7"/>
    <w:basedOn w:val="Normal"/>
    <w:next w:val="Normal"/>
    <w:link w:val="Heading7Char"/>
    <w:qFormat/>
    <w:rsid w:val="002C125A"/>
    <w:pPr>
      <w:ind w:left="720"/>
      <w:outlineLvl w:val="6"/>
    </w:pPr>
    <w:rPr>
      <w:i/>
    </w:rPr>
  </w:style>
  <w:style w:type="paragraph" w:styleId="Heading8">
    <w:name w:val="heading 8"/>
    <w:basedOn w:val="Normal"/>
    <w:next w:val="Normal"/>
    <w:link w:val="Heading8Char"/>
    <w:qFormat/>
    <w:rsid w:val="002C125A"/>
    <w:pPr>
      <w:ind w:left="720"/>
      <w:outlineLvl w:val="7"/>
    </w:pPr>
    <w:rPr>
      <w:i/>
    </w:rPr>
  </w:style>
  <w:style w:type="paragraph" w:styleId="Heading9">
    <w:name w:val="heading 9"/>
    <w:basedOn w:val="Normal"/>
    <w:next w:val="Normal"/>
    <w:link w:val="Heading9Char"/>
    <w:qFormat/>
    <w:rsid w:val="002C125A"/>
    <w:pPr>
      <w:ind w:left="720"/>
      <w:outlineLvl w:val="8"/>
    </w:pPr>
    <w:rPr>
      <w:i/>
    </w:rPr>
  </w:style>
  <w:style w:type="character" w:default="1" w:styleId="DefaultParagraphFont">
    <w:name w:val="Default Paragraph Font"/>
    <w:uiPriority w:val="1"/>
    <w:unhideWhenUsed/>
    <w:rsid w:val="002C1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25A"/>
  </w:style>
  <w:style w:type="character" w:customStyle="1" w:styleId="Heading1Char">
    <w:name w:val="Heading 1 Char"/>
    <w:basedOn w:val="DefaultParagraphFont"/>
    <w:link w:val="Heading1"/>
    <w:rsid w:val="002C125A"/>
    <w:rPr>
      <w:rFonts w:ascii="Times New Roman" w:eastAsia="Times New Roman" w:hAnsi="Times New Roman" w:cs="Times New Roman"/>
      <w:b/>
      <w:sz w:val="32"/>
      <w:szCs w:val="20"/>
      <w:lang w:eastAsia="en-US"/>
    </w:rPr>
  </w:style>
  <w:style w:type="paragraph" w:styleId="BodyText">
    <w:name w:val="Body Text"/>
    <w:basedOn w:val="Normal"/>
    <w:link w:val="BodyTextChar"/>
    <w:rsid w:val="002C12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125A"/>
    <w:rPr>
      <w:rFonts w:ascii="Times New Roman" w:eastAsia="Times New Roman" w:hAnsi="Times New Roman" w:cs="Times New Roman"/>
      <w:sz w:val="24"/>
      <w:lang w:eastAsia="en-US"/>
    </w:rPr>
  </w:style>
  <w:style w:type="paragraph" w:styleId="Footer">
    <w:name w:val="footer"/>
    <w:basedOn w:val="Normal"/>
    <w:link w:val="FooterChar"/>
    <w:rsid w:val="002C1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25A"/>
    <w:rPr>
      <w:rFonts w:ascii="Times New Roman" w:eastAsia="Times New Roman" w:hAnsi="Times New Roman" w:cs="Times New Roman"/>
      <w:sz w:val="16"/>
      <w:lang w:eastAsia="en-US"/>
    </w:rPr>
  </w:style>
  <w:style w:type="paragraph" w:styleId="List">
    <w:name w:val="List"/>
    <w:basedOn w:val="BodyText"/>
    <w:next w:val="BodyText"/>
    <w:rsid w:val="002C125A"/>
    <w:pPr>
      <w:tabs>
        <w:tab w:val="left" w:pos="340"/>
      </w:tabs>
      <w:spacing w:before="60" w:after="60"/>
      <w:ind w:left="340" w:hanging="340"/>
    </w:pPr>
  </w:style>
  <w:style w:type="paragraph" w:styleId="ListBullet">
    <w:name w:val="List Bullet"/>
    <w:basedOn w:val="List"/>
    <w:rsid w:val="002C125A"/>
    <w:pPr>
      <w:numPr>
        <w:numId w:val="13"/>
      </w:numPr>
      <w:tabs>
        <w:tab w:val="clear" w:pos="340"/>
      </w:tabs>
      <w:spacing w:before="40" w:after="40"/>
    </w:pPr>
  </w:style>
  <w:style w:type="character" w:customStyle="1" w:styleId="SpecialBold">
    <w:name w:val="Special Bold"/>
    <w:basedOn w:val="DefaultParagraphFont"/>
    <w:rsid w:val="002C125A"/>
    <w:rPr>
      <w:b/>
      <w:spacing w:val="0"/>
    </w:rPr>
  </w:style>
  <w:style w:type="paragraph" w:styleId="ListBullet2">
    <w:name w:val="List Bullet 2"/>
    <w:basedOn w:val="List2"/>
    <w:rsid w:val="002C125A"/>
    <w:pPr>
      <w:numPr>
        <w:numId w:val="14"/>
      </w:numPr>
      <w:tabs>
        <w:tab w:val="clear" w:pos="680"/>
      </w:tabs>
    </w:pPr>
  </w:style>
  <w:style w:type="character" w:styleId="Emphasis">
    <w:name w:val="Emphasis"/>
    <w:basedOn w:val="DefaultParagraphFont"/>
    <w:qFormat/>
    <w:rsid w:val="002C125A"/>
    <w:rPr>
      <w:i/>
    </w:rPr>
  </w:style>
  <w:style w:type="paragraph" w:customStyle="1" w:styleId="SuperHeading">
    <w:name w:val="SuperHeading"/>
    <w:basedOn w:val="Normal"/>
    <w:rsid w:val="002C125A"/>
    <w:pPr>
      <w:spacing w:before="240" w:after="120"/>
      <w:outlineLvl w:val="0"/>
    </w:pPr>
    <w:rPr>
      <w:rFonts w:ascii="Times New Roman" w:hAnsi="Times New Roman"/>
      <w:b/>
      <w:sz w:val="28"/>
    </w:rPr>
  </w:style>
  <w:style w:type="paragraph" w:customStyle="1" w:styleId="AllowPageBreak">
    <w:name w:val="AllowPageBreak"/>
    <w:rsid w:val="002C1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25A"/>
    <w:rPr>
      <w:rFonts w:ascii="Courier New" w:eastAsia="Times New Roman" w:hAnsi="Courier New" w:cs="Times New Roman"/>
      <w:i/>
      <w:szCs w:val="20"/>
      <w:lang w:eastAsia="en-US"/>
    </w:rPr>
  </w:style>
  <w:style w:type="paragraph" w:customStyle="1" w:styleId="HeadingBase">
    <w:name w:val="Heading Base"/>
    <w:rsid w:val="002C1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25A"/>
    <w:pPr>
      <w:tabs>
        <w:tab w:val="right" w:leader="dot" w:pos="9072"/>
      </w:tabs>
      <w:ind w:left="567"/>
    </w:pPr>
    <w:rPr>
      <w:szCs w:val="22"/>
    </w:rPr>
  </w:style>
  <w:style w:type="paragraph" w:customStyle="1" w:styleId="TOCBase">
    <w:name w:val="TOC Base"/>
    <w:rsid w:val="002C1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25A"/>
    <w:pPr>
      <w:tabs>
        <w:tab w:val="right" w:leader="dot" w:pos="9072"/>
      </w:tabs>
      <w:spacing w:before="40" w:after="40"/>
      <w:ind w:left="284"/>
    </w:pPr>
    <w:rPr>
      <w:rFonts w:ascii="Times New Roman" w:hAnsi="Times New Roman"/>
    </w:rPr>
  </w:style>
  <w:style w:type="paragraph" w:styleId="TOC1">
    <w:name w:val="toc 1"/>
    <w:basedOn w:val="TOCBase"/>
    <w:next w:val="Normal"/>
    <w:rsid w:val="002C12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125A"/>
    <w:pPr>
      <w:spacing w:before="5040"/>
      <w:jc w:val="center"/>
    </w:pPr>
    <w:rPr>
      <w:sz w:val="48"/>
      <w:szCs w:val="72"/>
      <w:lang w:val="en-US"/>
    </w:rPr>
  </w:style>
  <w:style w:type="character" w:customStyle="1" w:styleId="TitleChar">
    <w:name w:val="Title Char"/>
    <w:basedOn w:val="DefaultParagraphFont"/>
    <w:link w:val="Title"/>
    <w:rsid w:val="002C1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25A"/>
    <w:pPr>
      <w:tabs>
        <w:tab w:val="left" w:pos="3600"/>
        <w:tab w:val="left" w:pos="3958"/>
      </w:tabs>
    </w:pPr>
  </w:style>
  <w:style w:type="paragraph" w:customStyle="1" w:styleId="Note">
    <w:name w:val="Note"/>
    <w:basedOn w:val="BodyText"/>
    <w:rsid w:val="002C1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25A"/>
    <w:pPr>
      <w:framePr w:wrap="auto" w:hAnchor="text" w:y="6049"/>
    </w:pPr>
    <w:rPr>
      <w:color w:val="000000"/>
      <w:sz w:val="40"/>
    </w:rPr>
  </w:style>
  <w:style w:type="paragraph" w:customStyle="1" w:styleId="TOCTitle">
    <w:name w:val="TOCTitle"/>
    <w:basedOn w:val="Heading1"/>
    <w:rsid w:val="002C125A"/>
    <w:pPr>
      <w:spacing w:after="240"/>
      <w:jc w:val="center"/>
      <w:outlineLvl w:val="9"/>
    </w:pPr>
    <w:rPr>
      <w:caps/>
    </w:rPr>
  </w:style>
  <w:style w:type="paragraph" w:customStyle="1" w:styleId="Version">
    <w:name w:val="Version"/>
    <w:rsid w:val="002C1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25A"/>
    <w:pPr>
      <w:keepNext w:val="0"/>
      <w:tabs>
        <w:tab w:val="right" w:pos="4176"/>
      </w:tabs>
      <w:ind w:left="198" w:hanging="198"/>
    </w:pPr>
    <w:rPr>
      <w:rFonts w:ascii="Garamond" w:hAnsi="Garamond"/>
    </w:rPr>
  </w:style>
  <w:style w:type="paragraph" w:styleId="IndexHeading">
    <w:name w:val="index heading"/>
    <w:basedOn w:val="Normal"/>
    <w:next w:val="Index1"/>
    <w:semiHidden/>
    <w:rsid w:val="002C125A"/>
    <w:pPr>
      <w:spacing w:before="120" w:after="120"/>
    </w:pPr>
    <w:rPr>
      <w:rFonts w:ascii="Arial" w:hAnsi="Arial"/>
      <w:b/>
      <w:color w:val="918585"/>
      <w:sz w:val="24"/>
    </w:rPr>
  </w:style>
  <w:style w:type="paragraph" w:styleId="Header">
    <w:name w:val="header"/>
    <w:basedOn w:val="Normal"/>
    <w:link w:val="HeaderChar"/>
    <w:rsid w:val="002C1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25A"/>
    <w:rPr>
      <w:rFonts w:ascii="Times New Roman" w:eastAsia="Times New Roman" w:hAnsi="Times New Roman" w:cs="Times New Roman"/>
      <w:sz w:val="16"/>
      <w:szCs w:val="20"/>
      <w:lang w:val="en-GB" w:eastAsia="en-US"/>
    </w:rPr>
  </w:style>
  <w:style w:type="paragraph" w:customStyle="1" w:styleId="Chapter">
    <w:name w:val="Chapter"/>
    <w:basedOn w:val="Normal"/>
    <w:rsid w:val="002C125A"/>
    <w:pPr>
      <w:spacing w:before="240"/>
    </w:pPr>
    <w:rPr>
      <w:rFonts w:ascii="Times New Roman" w:hAnsi="Times New Roman"/>
      <w:smallCaps/>
      <w:spacing w:val="80"/>
      <w:sz w:val="28"/>
    </w:rPr>
  </w:style>
  <w:style w:type="paragraph" w:customStyle="1" w:styleId="InChapter">
    <w:name w:val="InChapter"/>
    <w:basedOn w:val="Heading3"/>
    <w:rsid w:val="002C125A"/>
    <w:pPr>
      <w:spacing w:after="240"/>
      <w:outlineLvl w:val="9"/>
    </w:pPr>
    <w:rPr>
      <w:noProof/>
    </w:rPr>
  </w:style>
  <w:style w:type="paragraph" w:styleId="Index2">
    <w:name w:val="index 2"/>
    <w:basedOn w:val="Normal"/>
    <w:next w:val="Normal"/>
    <w:semiHidden/>
    <w:rsid w:val="002C125A"/>
    <w:pPr>
      <w:tabs>
        <w:tab w:val="right" w:pos="4176"/>
      </w:tabs>
      <w:ind w:left="568" w:hanging="284"/>
    </w:pPr>
    <w:rPr>
      <w:rFonts w:ascii="Garamond" w:hAnsi="Garamond"/>
    </w:rPr>
  </w:style>
  <w:style w:type="paragraph" w:customStyle="1" w:styleId="Byline">
    <w:name w:val="Byline"/>
    <w:rsid w:val="002C1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25A"/>
    <w:pPr>
      <w:tabs>
        <w:tab w:val="clear" w:pos="3600"/>
        <w:tab w:val="clear" w:pos="3958"/>
      </w:tabs>
      <w:jc w:val="right"/>
    </w:pPr>
  </w:style>
  <w:style w:type="paragraph" w:styleId="Caption">
    <w:name w:val="caption"/>
    <w:basedOn w:val="BodyText"/>
    <w:next w:val="Normal"/>
    <w:qFormat/>
    <w:rsid w:val="002C125A"/>
    <w:pPr>
      <w:framePr w:w="2268" w:hSpace="181" w:vSpace="181" w:wrap="around" w:vAnchor="text" w:hAnchor="page" w:x="1135" w:y="285" w:anchorLock="1"/>
    </w:pPr>
    <w:rPr>
      <w:i/>
    </w:rPr>
  </w:style>
  <w:style w:type="paragraph" w:customStyle="1" w:styleId="MiniTOCTitle">
    <w:name w:val="MiniTOCTitle"/>
    <w:basedOn w:val="Heading4"/>
    <w:rsid w:val="002C125A"/>
    <w:pPr>
      <w:spacing w:before="240"/>
      <w:outlineLvl w:val="9"/>
    </w:pPr>
    <w:rPr>
      <w:noProof/>
      <w:sz w:val="24"/>
    </w:rPr>
  </w:style>
  <w:style w:type="paragraph" w:customStyle="1" w:styleId="MiniTOCItem">
    <w:name w:val="MiniTOCItem"/>
    <w:basedOn w:val="ListBullet"/>
    <w:rsid w:val="002C125A"/>
    <w:pPr>
      <w:numPr>
        <w:numId w:val="0"/>
      </w:numPr>
      <w:tabs>
        <w:tab w:val="right" w:leader="dot" w:pos="6521"/>
      </w:tabs>
      <w:spacing w:before="0" w:after="0"/>
    </w:pPr>
  </w:style>
  <w:style w:type="paragraph" w:customStyle="1" w:styleId="TOFTitle">
    <w:name w:val="TOFTitle"/>
    <w:basedOn w:val="TOCTitle"/>
    <w:rsid w:val="002C125A"/>
  </w:style>
  <w:style w:type="paragraph" w:styleId="TableofFigures">
    <w:name w:val="table of figures"/>
    <w:basedOn w:val="Normal"/>
    <w:next w:val="Normal"/>
    <w:semiHidden/>
    <w:rsid w:val="002C125A"/>
    <w:pPr>
      <w:tabs>
        <w:tab w:val="right" w:leader="dot" w:pos="9072"/>
      </w:tabs>
      <w:ind w:left="970" w:hanging="403"/>
    </w:pPr>
    <w:rPr>
      <w:rFonts w:ascii="Times New Roman" w:hAnsi="Times New Roman"/>
      <w:b/>
    </w:rPr>
  </w:style>
  <w:style w:type="paragraph" w:styleId="ListNumber">
    <w:name w:val="List Number"/>
    <w:basedOn w:val="List"/>
    <w:rsid w:val="002C125A"/>
    <w:pPr>
      <w:numPr>
        <w:numId w:val="11"/>
      </w:numPr>
    </w:pPr>
  </w:style>
  <w:style w:type="character" w:customStyle="1" w:styleId="WingdingSymbols">
    <w:name w:val="Wingding Symbols"/>
    <w:rsid w:val="002C125A"/>
    <w:rPr>
      <w:rFonts w:ascii="Wingdings" w:hAnsi="Wingdings"/>
    </w:rPr>
  </w:style>
  <w:style w:type="paragraph" w:customStyle="1" w:styleId="TableHeading">
    <w:name w:val="Table Heading"/>
    <w:basedOn w:val="HeadingBase"/>
    <w:rsid w:val="002C125A"/>
    <w:pPr>
      <w:keepLines/>
      <w:pBdr>
        <w:bottom w:val="single" w:sz="6" w:space="1" w:color="918585"/>
      </w:pBdr>
      <w:spacing w:before="240"/>
    </w:pPr>
  </w:style>
  <w:style w:type="character" w:customStyle="1" w:styleId="HotSpot">
    <w:name w:val="HotSpot"/>
    <w:rsid w:val="002C125A"/>
    <w:rPr>
      <w:color w:val="0033CC"/>
      <w:u w:val="none"/>
    </w:rPr>
  </w:style>
  <w:style w:type="paragraph" w:customStyle="1" w:styleId="BodyTextRight">
    <w:name w:val="Body Text Right"/>
    <w:basedOn w:val="BodyText"/>
    <w:rsid w:val="002C125A"/>
    <w:pPr>
      <w:spacing w:before="0" w:after="0"/>
      <w:jc w:val="right"/>
    </w:pPr>
  </w:style>
  <w:style w:type="paragraph" w:styleId="Index3">
    <w:name w:val="index 3"/>
    <w:basedOn w:val="ListNumber2"/>
    <w:next w:val="Normal"/>
    <w:semiHidden/>
    <w:rsid w:val="002C125A"/>
    <w:pPr>
      <w:numPr>
        <w:numId w:val="0"/>
      </w:numPr>
      <w:tabs>
        <w:tab w:val="right" w:leader="dot" w:pos="4176"/>
      </w:tabs>
    </w:pPr>
  </w:style>
  <w:style w:type="paragraph" w:styleId="ListNumber2">
    <w:name w:val="List Number 2"/>
    <w:basedOn w:val="List2"/>
    <w:rsid w:val="002C125A"/>
    <w:pPr>
      <w:numPr>
        <w:numId w:val="10"/>
      </w:numPr>
      <w:tabs>
        <w:tab w:val="clear" w:pos="1060"/>
      </w:tabs>
    </w:pPr>
  </w:style>
  <w:style w:type="paragraph" w:customStyle="1" w:styleId="MarginNote">
    <w:name w:val="Margin Note"/>
    <w:basedOn w:val="BodyText"/>
    <w:rsid w:val="002C1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25A"/>
    <w:rPr>
      <w:sz w:val="32"/>
    </w:rPr>
  </w:style>
  <w:style w:type="paragraph" w:customStyle="1" w:styleId="HeadingProcedure">
    <w:name w:val="Heading Procedure"/>
    <w:basedOn w:val="HeadingBase"/>
    <w:next w:val="Normal"/>
    <w:rsid w:val="002C125A"/>
    <w:pPr>
      <w:tabs>
        <w:tab w:val="left" w:pos="0"/>
      </w:tabs>
      <w:spacing w:before="120" w:after="60"/>
    </w:pPr>
    <w:rPr>
      <w:i/>
      <w:color w:val="918585"/>
      <w:sz w:val="22"/>
    </w:rPr>
  </w:style>
  <w:style w:type="paragraph" w:customStyle="1" w:styleId="TableBodyText">
    <w:name w:val="Table Body Text"/>
    <w:basedOn w:val="BodyText"/>
    <w:rsid w:val="002C125A"/>
    <w:pPr>
      <w:spacing w:before="60" w:after="60"/>
    </w:pPr>
  </w:style>
  <w:style w:type="paragraph" w:styleId="ListContinue">
    <w:name w:val="List Continue"/>
    <w:basedOn w:val="List"/>
    <w:rsid w:val="002C125A"/>
    <w:pPr>
      <w:ind w:firstLine="0"/>
    </w:pPr>
  </w:style>
  <w:style w:type="paragraph" w:customStyle="1" w:styleId="ListNote">
    <w:name w:val="List Note"/>
    <w:basedOn w:val="List"/>
    <w:rsid w:val="002C125A"/>
    <w:pPr>
      <w:pBdr>
        <w:top w:val="single" w:sz="6" w:space="2" w:color="918585"/>
        <w:bottom w:val="single" w:sz="6" w:space="2" w:color="918585"/>
      </w:pBdr>
      <w:tabs>
        <w:tab w:val="left" w:pos="1021"/>
      </w:tabs>
      <w:ind w:firstLine="0"/>
    </w:pPr>
  </w:style>
  <w:style w:type="paragraph" w:customStyle="1" w:styleId="Warning">
    <w:name w:val="Warning"/>
    <w:basedOn w:val="BodyText"/>
    <w:rsid w:val="002C125A"/>
    <w:pPr>
      <w:shd w:val="clear" w:color="auto" w:fill="D9D9D9"/>
      <w:tabs>
        <w:tab w:val="left" w:pos="992"/>
      </w:tabs>
      <w:ind w:left="119" w:right="119"/>
    </w:pPr>
    <w:rPr>
      <w:sz w:val="20"/>
    </w:rPr>
  </w:style>
  <w:style w:type="paragraph" w:customStyle="1" w:styleId="MarginIcons">
    <w:name w:val="Margin Icons"/>
    <w:basedOn w:val="BodyText"/>
    <w:rsid w:val="002C1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25A"/>
    <w:rPr>
      <w:rFonts w:ascii="Courier New" w:hAnsi="Courier New"/>
    </w:rPr>
  </w:style>
  <w:style w:type="paragraph" w:customStyle="1" w:styleId="NoteBullet">
    <w:name w:val="Note Bullet"/>
    <w:basedOn w:val="Note"/>
    <w:rsid w:val="002C125A"/>
    <w:pPr>
      <w:tabs>
        <w:tab w:val="clear" w:pos="680"/>
      </w:tabs>
      <w:spacing w:before="60" w:after="60"/>
    </w:pPr>
  </w:style>
  <w:style w:type="paragraph" w:customStyle="1" w:styleId="SubHeading2">
    <w:name w:val="SubHeading2"/>
    <w:basedOn w:val="HeadingBase"/>
    <w:rsid w:val="002C125A"/>
    <w:pPr>
      <w:spacing w:before="240" w:after="60"/>
    </w:pPr>
    <w:rPr>
      <w:sz w:val="20"/>
    </w:rPr>
  </w:style>
  <w:style w:type="paragraph" w:customStyle="1" w:styleId="SubHeading1">
    <w:name w:val="SubHeading1"/>
    <w:basedOn w:val="HeadingBase"/>
    <w:rsid w:val="002C125A"/>
    <w:pPr>
      <w:spacing w:before="240" w:after="60"/>
    </w:pPr>
    <w:rPr>
      <w:color w:val="918585"/>
      <w:sz w:val="22"/>
    </w:rPr>
  </w:style>
  <w:style w:type="paragraph" w:customStyle="1" w:styleId="SideHeading">
    <w:name w:val="Side Heading"/>
    <w:basedOn w:val="HeadingBase"/>
    <w:rsid w:val="002C1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25A"/>
    <w:pPr>
      <w:numPr>
        <w:numId w:val="12"/>
      </w:numPr>
    </w:pPr>
  </w:style>
  <w:style w:type="paragraph" w:styleId="PlainText">
    <w:name w:val="Plain Text"/>
    <w:basedOn w:val="Normal"/>
    <w:link w:val="PlainTextChar"/>
    <w:rsid w:val="002C125A"/>
    <w:rPr>
      <w:sz w:val="20"/>
    </w:rPr>
  </w:style>
  <w:style w:type="character" w:customStyle="1" w:styleId="PlainTextChar">
    <w:name w:val="Plain Text Char"/>
    <w:basedOn w:val="DefaultParagraphFont"/>
    <w:link w:val="PlainText"/>
    <w:rsid w:val="002C125A"/>
    <w:rPr>
      <w:rFonts w:ascii="Courier New" w:eastAsia="Times New Roman" w:hAnsi="Courier New" w:cs="Times New Roman"/>
      <w:sz w:val="20"/>
      <w:szCs w:val="20"/>
      <w:lang w:eastAsia="en-US"/>
    </w:rPr>
  </w:style>
  <w:style w:type="character" w:customStyle="1" w:styleId="MenuOption">
    <w:name w:val="Menu Option"/>
    <w:basedOn w:val="DefaultParagraphFont"/>
    <w:rsid w:val="002C125A"/>
    <w:rPr>
      <w:b/>
      <w:smallCaps/>
    </w:rPr>
  </w:style>
  <w:style w:type="paragraph" w:customStyle="1" w:styleId="TableListNumber">
    <w:name w:val="Table List Number"/>
    <w:basedOn w:val="ListNumber"/>
    <w:rsid w:val="002C125A"/>
    <w:pPr>
      <w:numPr>
        <w:numId w:val="0"/>
      </w:numPr>
    </w:pPr>
  </w:style>
  <w:style w:type="paragraph" w:styleId="TOC4">
    <w:name w:val="toc 4"/>
    <w:basedOn w:val="TOCBase"/>
    <w:next w:val="Normal"/>
    <w:semiHidden/>
    <w:rsid w:val="002C125A"/>
    <w:pPr>
      <w:tabs>
        <w:tab w:val="right" w:leader="dot" w:pos="9071"/>
      </w:tabs>
      <w:ind w:left="1701"/>
    </w:pPr>
  </w:style>
  <w:style w:type="paragraph" w:customStyle="1" w:styleId="ListAlpha">
    <w:name w:val="List Alpha"/>
    <w:basedOn w:val="List"/>
    <w:rsid w:val="002C125A"/>
    <w:pPr>
      <w:numPr>
        <w:numId w:val="9"/>
      </w:numPr>
    </w:pPr>
  </w:style>
  <w:style w:type="paragraph" w:customStyle="1" w:styleId="ListAlpha2">
    <w:name w:val="List Alpha 2"/>
    <w:basedOn w:val="List2"/>
    <w:rsid w:val="002C125A"/>
    <w:pPr>
      <w:numPr>
        <w:numId w:val="8"/>
      </w:numPr>
    </w:pPr>
  </w:style>
  <w:style w:type="paragraph" w:styleId="List2">
    <w:name w:val="List 2"/>
    <w:basedOn w:val="BodyText"/>
    <w:rsid w:val="002C125A"/>
    <w:pPr>
      <w:tabs>
        <w:tab w:val="left" w:pos="680"/>
      </w:tabs>
      <w:spacing w:before="60" w:after="60"/>
      <w:ind w:left="680" w:hanging="340"/>
    </w:pPr>
  </w:style>
  <w:style w:type="paragraph" w:styleId="List3">
    <w:name w:val="List 3"/>
    <w:basedOn w:val="BodyText"/>
    <w:rsid w:val="002C125A"/>
    <w:pPr>
      <w:tabs>
        <w:tab w:val="left" w:pos="1021"/>
      </w:tabs>
      <w:spacing w:before="60" w:after="60"/>
      <w:ind w:left="1020" w:hanging="340"/>
    </w:pPr>
  </w:style>
  <w:style w:type="paragraph" w:styleId="List4">
    <w:name w:val="List 4"/>
    <w:basedOn w:val="BodyText"/>
    <w:rsid w:val="002C125A"/>
    <w:pPr>
      <w:tabs>
        <w:tab w:val="left" w:pos="1361"/>
      </w:tabs>
      <w:spacing w:before="60" w:after="60"/>
      <w:ind w:left="1361" w:hanging="340"/>
    </w:pPr>
  </w:style>
  <w:style w:type="paragraph" w:styleId="List5">
    <w:name w:val="List 5"/>
    <w:basedOn w:val="BodyText"/>
    <w:rsid w:val="002C125A"/>
    <w:pPr>
      <w:tabs>
        <w:tab w:val="left" w:pos="1701"/>
      </w:tabs>
      <w:spacing w:before="60" w:after="60"/>
      <w:ind w:left="1701" w:hanging="340"/>
    </w:pPr>
  </w:style>
  <w:style w:type="paragraph" w:styleId="ListBullet3">
    <w:name w:val="List Bullet 3"/>
    <w:basedOn w:val="List3"/>
    <w:rsid w:val="002C125A"/>
    <w:pPr>
      <w:numPr>
        <w:numId w:val="15"/>
      </w:numPr>
      <w:tabs>
        <w:tab w:val="clear" w:pos="1021"/>
      </w:tabs>
      <w:ind w:left="1037" w:hanging="357"/>
    </w:pPr>
  </w:style>
  <w:style w:type="paragraph" w:styleId="ListBullet4">
    <w:name w:val="List Bullet 4"/>
    <w:basedOn w:val="List4"/>
    <w:rsid w:val="002C125A"/>
    <w:pPr>
      <w:numPr>
        <w:numId w:val="3"/>
      </w:numPr>
    </w:pPr>
  </w:style>
  <w:style w:type="paragraph" w:styleId="ListBullet5">
    <w:name w:val="List Bullet 5"/>
    <w:basedOn w:val="List5"/>
    <w:rsid w:val="002C125A"/>
    <w:pPr>
      <w:numPr>
        <w:numId w:val="4"/>
      </w:numPr>
    </w:pPr>
  </w:style>
  <w:style w:type="paragraph" w:styleId="ListContinue2">
    <w:name w:val="List Continue 2"/>
    <w:basedOn w:val="List2"/>
    <w:rsid w:val="002C125A"/>
    <w:pPr>
      <w:ind w:firstLine="0"/>
    </w:pPr>
  </w:style>
  <w:style w:type="paragraph" w:styleId="ListContinue3">
    <w:name w:val="List Continue 3"/>
    <w:basedOn w:val="List3"/>
    <w:rsid w:val="002C125A"/>
    <w:pPr>
      <w:ind w:left="1021" w:firstLine="0"/>
    </w:pPr>
  </w:style>
  <w:style w:type="paragraph" w:styleId="ListContinue4">
    <w:name w:val="List Continue 4"/>
    <w:basedOn w:val="List4"/>
    <w:rsid w:val="002C125A"/>
    <w:pPr>
      <w:ind w:firstLine="0"/>
    </w:pPr>
  </w:style>
  <w:style w:type="paragraph" w:styleId="ListContinue5">
    <w:name w:val="List Continue 5"/>
    <w:basedOn w:val="List5"/>
    <w:rsid w:val="002C125A"/>
    <w:pPr>
      <w:ind w:firstLine="0"/>
    </w:pPr>
  </w:style>
  <w:style w:type="paragraph" w:styleId="ListNumber3">
    <w:name w:val="List Number 3"/>
    <w:basedOn w:val="List3"/>
    <w:rsid w:val="002C125A"/>
    <w:pPr>
      <w:numPr>
        <w:numId w:val="5"/>
      </w:numPr>
    </w:pPr>
  </w:style>
  <w:style w:type="paragraph" w:styleId="ListNumber4">
    <w:name w:val="List Number 4"/>
    <w:basedOn w:val="List4"/>
    <w:rsid w:val="002C125A"/>
    <w:pPr>
      <w:numPr>
        <w:numId w:val="6"/>
      </w:numPr>
    </w:pPr>
  </w:style>
  <w:style w:type="paragraph" w:styleId="ListNumber5">
    <w:name w:val="List Number 5"/>
    <w:basedOn w:val="List5"/>
    <w:rsid w:val="002C125A"/>
    <w:pPr>
      <w:numPr>
        <w:numId w:val="7"/>
      </w:numPr>
    </w:pPr>
  </w:style>
  <w:style w:type="paragraph" w:styleId="BlockText">
    <w:name w:val="Block Text"/>
    <w:basedOn w:val="Normal"/>
    <w:rsid w:val="002C125A"/>
    <w:pPr>
      <w:spacing w:after="120"/>
      <w:ind w:left="1440" w:right="1440"/>
    </w:pPr>
  </w:style>
  <w:style w:type="character" w:customStyle="1" w:styleId="Subscript">
    <w:name w:val="Subscript"/>
    <w:basedOn w:val="DefaultParagraphFont"/>
    <w:rsid w:val="002C125A"/>
    <w:rPr>
      <w:sz w:val="16"/>
      <w:vertAlign w:val="subscript"/>
    </w:rPr>
  </w:style>
  <w:style w:type="character" w:customStyle="1" w:styleId="Superscript">
    <w:name w:val="Superscript"/>
    <w:basedOn w:val="DefaultParagraphFont"/>
    <w:rsid w:val="002C125A"/>
    <w:rPr>
      <w:sz w:val="16"/>
      <w:vertAlign w:val="superscript"/>
    </w:rPr>
  </w:style>
  <w:style w:type="character" w:customStyle="1" w:styleId="Symbols">
    <w:name w:val="Symbols"/>
    <w:basedOn w:val="DefaultParagraphFont"/>
    <w:rsid w:val="002C125A"/>
    <w:rPr>
      <w:rFonts w:ascii="Symbol" w:hAnsi="Symbol"/>
    </w:rPr>
  </w:style>
  <w:style w:type="character" w:customStyle="1" w:styleId="MenuOptions">
    <w:name w:val="Menu Options"/>
    <w:basedOn w:val="DefaultParagraphFont"/>
    <w:rsid w:val="002C125A"/>
    <w:rPr>
      <w:rFonts w:ascii="Arial Narrow" w:hAnsi="Arial Narrow"/>
      <w:smallCaps/>
    </w:rPr>
  </w:style>
  <w:style w:type="character" w:customStyle="1" w:styleId="Buttons">
    <w:name w:val="Buttons"/>
    <w:basedOn w:val="DefaultParagraphFont"/>
    <w:rsid w:val="002C125A"/>
    <w:rPr>
      <w:b/>
    </w:rPr>
  </w:style>
  <w:style w:type="character" w:customStyle="1" w:styleId="Underlined">
    <w:name w:val="Underlined"/>
    <w:basedOn w:val="DefaultParagraphFont"/>
    <w:rsid w:val="002C125A"/>
    <w:rPr>
      <w:u w:val="single"/>
    </w:rPr>
  </w:style>
  <w:style w:type="paragraph" w:customStyle="1" w:styleId="TableBodyTextRight">
    <w:name w:val="Table Body Text Right"/>
    <w:basedOn w:val="TableBodyText"/>
    <w:rsid w:val="002C125A"/>
    <w:pPr>
      <w:widowControl w:val="0"/>
      <w:autoSpaceDE w:val="0"/>
      <w:autoSpaceDN w:val="0"/>
      <w:adjustRightInd w:val="0"/>
      <w:jc w:val="right"/>
    </w:pPr>
    <w:rPr>
      <w:rFonts w:cs="Arial"/>
      <w:szCs w:val="18"/>
    </w:rPr>
  </w:style>
  <w:style w:type="paragraph" w:customStyle="1" w:styleId="CopyrightText">
    <w:name w:val="Copyright Text"/>
    <w:basedOn w:val="BodyText"/>
    <w:rsid w:val="002C125A"/>
    <w:rPr>
      <w:sz w:val="18"/>
    </w:rPr>
  </w:style>
  <w:style w:type="paragraph" w:customStyle="1" w:styleId="BodySmallRight">
    <w:name w:val="Body Small Right"/>
    <w:basedOn w:val="BodyTextRight"/>
    <w:rsid w:val="002C125A"/>
    <w:rPr>
      <w:sz w:val="18"/>
      <w:szCs w:val="18"/>
    </w:rPr>
  </w:style>
  <w:style w:type="paragraph" w:customStyle="1" w:styleId="MarginEdition">
    <w:name w:val="Margin Edition"/>
    <w:basedOn w:val="MarginNote"/>
    <w:rsid w:val="002C125A"/>
    <w:pPr>
      <w:spacing w:before="0" w:after="0"/>
    </w:pPr>
    <w:rPr>
      <w:rFonts w:ascii="Times New Roman" w:hAnsi="Times New Roman"/>
      <w:color w:val="999999"/>
    </w:rPr>
  </w:style>
  <w:style w:type="paragraph" w:customStyle="1" w:styleId="Spacer">
    <w:name w:val="Spacer"/>
    <w:basedOn w:val="Normal"/>
    <w:rsid w:val="002C125A"/>
    <w:rPr>
      <w:sz w:val="2"/>
      <w:szCs w:val="2"/>
    </w:rPr>
  </w:style>
  <w:style w:type="character" w:customStyle="1" w:styleId="Small">
    <w:name w:val="Small"/>
    <w:basedOn w:val="DefaultParagraphFont"/>
    <w:rsid w:val="002C125A"/>
    <w:rPr>
      <w:sz w:val="16"/>
    </w:rPr>
  </w:style>
  <w:style w:type="paragraph" w:customStyle="1" w:styleId="WideTable">
    <w:name w:val="Wide Table"/>
    <w:basedOn w:val="Normal"/>
    <w:rsid w:val="002C125A"/>
    <w:pPr>
      <w:ind w:left="-1418"/>
    </w:pPr>
    <w:rPr>
      <w:sz w:val="2"/>
      <w:szCs w:val="2"/>
    </w:rPr>
  </w:style>
  <w:style w:type="character" w:styleId="PageNumber">
    <w:name w:val="page number"/>
    <w:basedOn w:val="DefaultParagraphFont"/>
    <w:rsid w:val="002C125A"/>
  </w:style>
  <w:style w:type="paragraph" w:styleId="Quote">
    <w:name w:val="Quote"/>
    <w:basedOn w:val="Heading1"/>
    <w:link w:val="QuoteChar"/>
    <w:qFormat/>
    <w:rsid w:val="002C125A"/>
    <w:rPr>
      <w:b w:val="0"/>
      <w:sz w:val="72"/>
      <w:szCs w:val="72"/>
      <w:lang w:val="en-NZ"/>
    </w:rPr>
  </w:style>
  <w:style w:type="character" w:customStyle="1" w:styleId="QuoteChar">
    <w:name w:val="Quote Char"/>
    <w:basedOn w:val="DefaultParagraphFont"/>
    <w:link w:val="Quote"/>
    <w:rsid w:val="002C1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25A"/>
    <w:pPr>
      <w:pageBreakBefore/>
    </w:pPr>
  </w:style>
  <w:style w:type="paragraph" w:customStyle="1" w:styleId="Border">
    <w:name w:val="Border"/>
    <w:basedOn w:val="Normal"/>
    <w:qFormat/>
    <w:rsid w:val="002C1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25A"/>
    <w:rPr>
      <w:b/>
      <w:bCs/>
      <w:i/>
      <w:iCs/>
      <w:color w:val="auto"/>
    </w:rPr>
  </w:style>
  <w:style w:type="paragraph" w:styleId="IntenseQuote">
    <w:name w:val="Intense Quote"/>
    <w:basedOn w:val="Normal"/>
    <w:next w:val="Normal"/>
    <w:link w:val="IntenseQuoteChar"/>
    <w:uiPriority w:val="30"/>
    <w:qFormat/>
    <w:rsid w:val="002C1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25A"/>
    <w:rPr>
      <w:smallCaps/>
      <w:color w:val="auto"/>
      <w:u w:val="single"/>
    </w:rPr>
  </w:style>
  <w:style w:type="character" w:styleId="IntenseReference">
    <w:name w:val="Intense Reference"/>
    <w:basedOn w:val="DefaultParagraphFont"/>
    <w:uiPriority w:val="32"/>
    <w:qFormat/>
    <w:rsid w:val="002C125A"/>
    <w:rPr>
      <w:b/>
      <w:bCs/>
      <w:smallCaps/>
      <w:color w:val="auto"/>
      <w:spacing w:val="5"/>
      <w:u w:val="single"/>
    </w:rPr>
  </w:style>
  <w:style w:type="paragraph" w:customStyle="1" w:styleId="2ColumnHeading">
    <w:name w:val="2Column Heading"/>
    <w:basedOn w:val="BodyText"/>
    <w:qFormat/>
    <w:rsid w:val="002C125A"/>
    <w:pPr>
      <w:spacing w:after="60"/>
      <w:ind w:left="-2268"/>
    </w:pPr>
    <w:rPr>
      <w:b/>
    </w:rPr>
  </w:style>
  <w:style w:type="paragraph" w:customStyle="1" w:styleId="Heading1TOC">
    <w:name w:val="Heading1 TOC"/>
    <w:basedOn w:val="Normal"/>
    <w:qFormat/>
    <w:rsid w:val="002C125A"/>
    <w:pPr>
      <w:spacing w:before="240" w:after="120"/>
    </w:pPr>
    <w:rPr>
      <w:rFonts w:ascii="Times New Roman" w:hAnsi="Times New Roman"/>
      <w:b/>
      <w:sz w:val="32"/>
    </w:rPr>
  </w:style>
  <w:style w:type="paragraph" w:customStyle="1" w:styleId="Heading2TOC">
    <w:name w:val="Heading2 TOC"/>
    <w:basedOn w:val="Normal"/>
    <w:qFormat/>
    <w:rsid w:val="002C125A"/>
    <w:pPr>
      <w:spacing w:before="240" w:after="60"/>
    </w:pPr>
    <w:rPr>
      <w:rFonts w:ascii="Times New Roman" w:hAnsi="Times New Roman"/>
      <w:b/>
      <w:sz w:val="28"/>
    </w:rPr>
  </w:style>
  <w:style w:type="character" w:customStyle="1" w:styleId="Underline">
    <w:name w:val="Underline"/>
    <w:basedOn w:val="DefaultParagraphFont"/>
    <w:qFormat/>
    <w:rsid w:val="002C125A"/>
    <w:rPr>
      <w:u w:val="single"/>
    </w:rPr>
  </w:style>
  <w:style w:type="character" w:customStyle="1" w:styleId="BoldandItalics">
    <w:name w:val="Bold and Italics"/>
    <w:qFormat/>
    <w:rsid w:val="002C125A"/>
    <w:rPr>
      <w:b/>
      <w:i/>
      <w:u w:val="none"/>
    </w:rPr>
  </w:style>
  <w:style w:type="paragraph" w:styleId="BalloonText">
    <w:name w:val="Balloon Text"/>
    <w:basedOn w:val="Normal"/>
    <w:link w:val="BalloonTextChar"/>
    <w:rsid w:val="002C125A"/>
    <w:rPr>
      <w:rFonts w:ascii="Tahoma" w:hAnsi="Tahoma" w:cs="Tahoma"/>
      <w:sz w:val="16"/>
      <w:szCs w:val="16"/>
    </w:rPr>
  </w:style>
  <w:style w:type="character" w:customStyle="1" w:styleId="BalloonTextChar">
    <w:name w:val="Balloon Text Char"/>
    <w:basedOn w:val="DefaultParagraphFont"/>
    <w:link w:val="BalloonText"/>
    <w:rsid w:val="002C1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2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1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25A"/>
    <w:rPr>
      <w:b/>
      <w:color w:val="660033"/>
      <w:spacing w:val="0"/>
    </w:rPr>
  </w:style>
  <w:style w:type="paragraph" w:customStyle="1" w:styleId="Nameditemlist">
    <w:name w:val="Named item list"/>
    <w:basedOn w:val="BodyText"/>
    <w:qFormat/>
    <w:rsid w:val="002C12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2107</Words>
  <Characters>13569</Characters>
  <Application>Microsoft Office Word</Application>
  <DocSecurity>0</DocSecurity>
  <Lines>444</Lines>
  <Paragraphs>203</Paragraphs>
  <ScaleCrop>false</ScaleCrop>
  <Company>Author-it Software Corporation Ltd.</Company>
  <LinksUpToDate>false</LinksUpToDate>
  <CharactersWithSpaces>15609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CHCCD420A Work to empower Aboriginal and/or Torres Strait Islander communities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2012-10-05T10:43:00Z</dcterms:created>
  <dcterms:modified xsi:type="dcterms:W3CDTF">2012-10-05T10:43:00Z</dcterms:modified>
</cp:coreProperties>
</file>