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3EEE" w:rsidP="00903EEE">
      <w:pPr>
        <w:pStyle w:val="Title"/>
      </w:pPr>
      <w:r>
        <w:fldChar w:fldCharType="begin"/>
      </w:r>
      <w:r>
        <w:instrText xml:space="preserve"> TITLE   \* MERGEFORMAT </w:instrText>
      </w:r>
      <w:r>
        <w:fldChar w:fldCharType="separate"/>
      </w:r>
      <w:r>
        <w:t>CHCAD504B Provide advocacy and representation services</w:t>
      </w:r>
      <w:r>
        <w:fldChar w:fldCharType="end"/>
      </w:r>
    </w:p>
    <w:p w:rsidR="00903EEE" w:rsidP="00903EEE">
      <w:pPr>
        <w:pStyle w:val="Version"/>
        <w:sectPr w:rsidSect="001E28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2850" w:rsidP="001E2850">
      <w:pPr>
        <w:pStyle w:val="SuperHeading"/>
      </w:pPr>
      <w:r w:rsidRPr="001E2850">
        <w:t>CHCAD504B Provide advocacy and representation services</w:t>
      </w:r>
    </w:p>
    <w:p w:rsidR="00000000" w:rsidRPr="001E2850" w:rsidP="001E2850">
      <w:pPr>
        <w:pStyle w:val="Heading1"/>
      </w:pPr>
      <w:bookmarkStart w:id="1" w:name="O_429648"/>
      <w:bookmarkEnd w:id="1"/>
      <w:r w:rsidRPr="001E2850">
        <w:t>Modification History</w:t>
      </w:r>
    </w:p>
    <w:tbl>
      <w:tblPr>
        <w:tblW w:w="0" w:type="auto"/>
        <w:tblCellMar>
          <w:left w:w="62" w:type="dxa"/>
          <w:right w:w="62" w:type="dxa"/>
        </w:tblCellMar>
        <w:tblLook w:val="0000"/>
      </w:tblPr>
      <w:tblGrid>
        <w:gridCol w:w="2628"/>
        <w:gridCol w:w="2626"/>
        <w:gridCol w:w="3942"/>
      </w:tblGrid>
      <w:tr w:rsidTr="00903EE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E2850" w:rsidP="001E2850">
            <w:pPr>
              <w:pStyle w:val="BodyText"/>
            </w:pPr>
            <w:r w:rsidRPr="001E2850">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1E2850" w:rsidP="001E2850">
            <w:pPr>
              <w:pStyle w:val="BodyText"/>
            </w:pPr>
            <w:r w:rsidRPr="001E2850">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1E2850">
            <w:pPr>
              <w:pStyle w:val="BodyText"/>
              <w:rPr>
                <w:lang w:val="en-NZ"/>
              </w:rPr>
            </w:pPr>
            <w:r w:rsidRPr="001E2850">
              <w:rPr>
                <w:rStyle w:val="SpecialBold"/>
              </w:rPr>
              <w:t>Comments</w:t>
            </w:r>
          </w:p>
        </w:tc>
      </w:tr>
      <w:tr w:rsidTr="00903EE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850">
            <w:pPr>
              <w:pStyle w:val="BodyText"/>
              <w:rPr>
                <w:lang w:val="en-NZ"/>
              </w:rPr>
            </w:pPr>
            <w:r w:rsidRPr="001E2850">
              <w:t>CHCAD504A Provide advocacy and representation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2850">
            <w:pPr>
              <w:pStyle w:val="BodyText"/>
              <w:rPr>
                <w:lang w:val="en-NZ"/>
              </w:rPr>
            </w:pPr>
            <w:r w:rsidRPr="001E2850">
              <w:t>CHCAD504B Provide advocacy and representation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2850" w:rsidP="001E2850">
            <w:pPr>
              <w:pStyle w:val="BodyText"/>
            </w:pPr>
            <w:r w:rsidRPr="001E2850">
              <w:t>ISC upgrade changes to remove references to old OHS legislation and replace with references to new WHS legislation. Formatting and grammatical corrections. Significant addition to Essential Skills. Equivalent competency outcome</w:t>
            </w:r>
          </w:p>
        </w:tc>
      </w:tr>
    </w:tbl>
    <w:p w:rsidR="00000000" w:rsidRPr="001E2850" w:rsidP="001E2850">
      <w:pPr>
        <w:pStyle w:val="BodyText"/>
      </w:pPr>
    </w:p>
    <w:p w:rsidR="00000000" w:rsidRPr="001E2850" w:rsidP="001E2850">
      <w:pPr>
        <w:pStyle w:val="AllowPageBreak"/>
      </w:pPr>
    </w:p>
    <w:p w:rsidR="00000000" w:rsidRPr="001E2850" w:rsidP="001E2850">
      <w:pPr>
        <w:pStyle w:val="Heading1"/>
      </w:pPr>
      <w:bookmarkStart w:id="2" w:name="O_429646"/>
      <w:bookmarkEnd w:id="2"/>
      <w:r w:rsidRPr="001E2850">
        <w:t>Unit Desc</w:t>
      </w:r>
      <w:r w:rsidRPr="001E2850">
        <w:t>riptor</w:t>
      </w:r>
    </w:p>
    <w:tbl>
      <w:tblPr>
        <w:tblW w:w="0" w:type="auto"/>
        <w:tblLayout w:type="fixed"/>
        <w:tblCellMar>
          <w:left w:w="62" w:type="dxa"/>
          <w:right w:w="62" w:type="dxa"/>
        </w:tblCellMar>
        <w:tblLook w:val="0000"/>
      </w:tblPr>
      <w:tblGrid>
        <w:gridCol w:w="3322"/>
        <w:gridCol w:w="5234"/>
      </w:tblGrid>
      <w:tr w:rsidTr="00903EEE">
        <w:tblPrEx>
          <w:tblW w:w="0" w:type="auto"/>
          <w:tblLayout w:type="fixed"/>
          <w:tblCellMar>
            <w:left w:w="62" w:type="dxa"/>
            <w:right w:w="62" w:type="dxa"/>
          </w:tblCellMar>
          <w:tblLook w:val="0000"/>
        </w:tblPrEx>
        <w:tc>
          <w:tcPr>
            <w:tcW w:w="332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SpecialBold"/>
              </w:rPr>
              <w:t>Descriptor</w:t>
            </w:r>
          </w:p>
        </w:tc>
        <w:tc>
          <w:tcPr>
            <w:tcW w:w="5234"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t>This unit describes the knowledge and skills required by the worker to represent the interests of service users, the community and/or the community services and health industries</w:t>
            </w:r>
          </w:p>
          <w:p w:rsidR="00000000" w:rsidRPr="001E2850" w:rsidP="001E2850">
            <w:pPr>
              <w:pStyle w:val="BodyText"/>
            </w:pPr>
            <w:r w:rsidRPr="001E2850">
              <w:t>Representation will include the development of community re</w:t>
            </w:r>
            <w:r w:rsidRPr="001E2850">
              <w:t>presentative and industry participative roles and positions in influencing policy processes and decision-making forums</w:t>
            </w:r>
          </w:p>
        </w:tc>
      </w:tr>
    </w:tbl>
    <w:p w:rsidR="00000000" w:rsidRPr="001E2850" w:rsidP="001E2850">
      <w:pPr>
        <w:pStyle w:val="BodyText"/>
      </w:pPr>
    </w:p>
    <w:p w:rsidR="00000000" w:rsidRPr="001E2850" w:rsidP="001E2850">
      <w:pPr>
        <w:pStyle w:val="AllowPageBreak"/>
      </w:pPr>
    </w:p>
    <w:p w:rsidR="00000000" w:rsidRPr="001E2850" w:rsidP="001E2850">
      <w:pPr>
        <w:pStyle w:val="Heading1"/>
      </w:pPr>
      <w:bookmarkStart w:id="3" w:name="O_429636"/>
      <w:bookmarkEnd w:id="3"/>
      <w:r w:rsidRPr="001E2850">
        <w:t>Application of the Unit</w:t>
      </w:r>
    </w:p>
    <w:tbl>
      <w:tblPr>
        <w:tblW w:w="0" w:type="auto"/>
        <w:tblLayout w:type="fixed"/>
        <w:tblCellMar>
          <w:left w:w="62" w:type="dxa"/>
          <w:right w:w="62" w:type="dxa"/>
        </w:tblCellMar>
        <w:tblLook w:val="0000"/>
      </w:tblPr>
      <w:tblGrid>
        <w:gridCol w:w="3349"/>
        <w:gridCol w:w="5207"/>
      </w:tblGrid>
      <w:tr w:rsidTr="00903EE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t>This unit may apply to work undertaken across a range of sectors involved in delivery of community services</w:t>
            </w:r>
          </w:p>
        </w:tc>
      </w:tr>
    </w:tbl>
    <w:p w:rsidR="00000000" w:rsidRPr="001E2850" w:rsidP="001E2850">
      <w:pPr>
        <w:pStyle w:val="BodyText"/>
      </w:pPr>
    </w:p>
    <w:p w:rsidR="00000000" w:rsidRPr="001E2850" w:rsidP="001E2850">
      <w:pPr>
        <w:pStyle w:val="AllowPageBreak"/>
      </w:pPr>
    </w:p>
    <w:p w:rsidR="00000000" w:rsidRPr="001E2850" w:rsidP="001E2850">
      <w:pPr>
        <w:pStyle w:val="Heading1"/>
      </w:pPr>
      <w:bookmarkStart w:id="4" w:name="O_429642"/>
      <w:bookmarkEnd w:id="4"/>
      <w:r w:rsidRPr="001E2850">
        <w:t>Licensing/Regulatory Information</w:t>
      </w:r>
    </w:p>
    <w:p w:rsidR="00000000" w:rsidRPr="001E2850" w:rsidP="001E2850">
      <w:pPr>
        <w:pStyle w:val="BodyText"/>
      </w:pPr>
      <w:r w:rsidRPr="001E2850">
        <w:t>Not Applicable</w:t>
      </w:r>
    </w:p>
    <w:p w:rsidR="00000000" w:rsidRPr="001E2850" w:rsidP="001E2850">
      <w:pPr>
        <w:pStyle w:val="AllowPageBreak"/>
      </w:pPr>
    </w:p>
    <w:p w:rsidR="00000000" w:rsidRPr="001E2850" w:rsidP="001E2850">
      <w:pPr>
        <w:pStyle w:val="Heading1"/>
      </w:pPr>
      <w:bookmarkStart w:id="5" w:name="O_429643"/>
      <w:bookmarkEnd w:id="5"/>
      <w:r w:rsidRPr="001E2850">
        <w:t>Pre-Requisites</w:t>
      </w:r>
    </w:p>
    <w:p w:rsidR="00000000" w:rsidRPr="001E2850" w:rsidP="001E2850">
      <w:pPr>
        <w:pStyle w:val="BodyText"/>
      </w:pPr>
      <w:r w:rsidRPr="001E2850">
        <w:t>Not Applicable</w:t>
      </w:r>
    </w:p>
    <w:p w:rsidR="00000000" w:rsidRPr="001E2850" w:rsidP="001E2850">
      <w:pPr>
        <w:pStyle w:val="AllowPageBreak"/>
      </w:pPr>
    </w:p>
    <w:p w:rsidR="00000000" w:rsidRPr="001E2850" w:rsidP="001E2850">
      <w:pPr>
        <w:pStyle w:val="Heading1"/>
      </w:pPr>
      <w:bookmarkStart w:id="6" w:name="O_429639"/>
      <w:bookmarkEnd w:id="6"/>
      <w:r w:rsidRPr="001E2850">
        <w:t>Employability Skills Information</w:t>
      </w:r>
    </w:p>
    <w:tbl>
      <w:tblPr>
        <w:tblW w:w="0" w:type="auto"/>
        <w:tblLayout w:type="fixed"/>
        <w:tblCellMar>
          <w:left w:w="62" w:type="dxa"/>
          <w:right w:w="62" w:type="dxa"/>
        </w:tblCellMar>
        <w:tblLook w:val="0000"/>
      </w:tblPr>
      <w:tblGrid>
        <w:gridCol w:w="3320"/>
        <w:gridCol w:w="5236"/>
      </w:tblGrid>
      <w:tr w:rsidTr="00903EE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t>This unit contains Employability Skills</w:t>
            </w:r>
          </w:p>
        </w:tc>
      </w:tr>
    </w:tbl>
    <w:p w:rsidR="00000000" w:rsidRPr="001E2850" w:rsidP="001E2850">
      <w:pPr>
        <w:pStyle w:val="BodyText"/>
      </w:pPr>
    </w:p>
    <w:p w:rsidR="00000000" w:rsidRPr="001E2850" w:rsidP="001E2850">
      <w:pPr>
        <w:pStyle w:val="AllowPageBreak"/>
      </w:pPr>
    </w:p>
    <w:p w:rsidR="00000000" w:rsidRPr="001E2850" w:rsidP="001E2850">
      <w:pPr>
        <w:pStyle w:val="Heading1"/>
      </w:pPr>
      <w:bookmarkStart w:id="7" w:name="O_429638"/>
      <w:bookmarkEnd w:id="7"/>
      <w:r w:rsidRPr="001E2850">
        <w:t>Elements and Performance Criteria Pre-Content</w:t>
      </w:r>
    </w:p>
    <w:tbl>
      <w:tblPr>
        <w:tblW w:w="0" w:type="auto"/>
        <w:tblLayout w:type="fixed"/>
        <w:tblCellMar>
          <w:left w:w="62" w:type="dxa"/>
          <w:right w:w="62" w:type="dxa"/>
        </w:tblCellMar>
        <w:tblLook w:val="0000"/>
      </w:tblPr>
      <w:tblGrid>
        <w:gridCol w:w="3369"/>
        <w:gridCol w:w="5702"/>
      </w:tblGrid>
      <w:tr w:rsidTr="00903E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t xml:space="preserve">The Performance Criteria specify the level of performance required to demonstrate achievement of the Element. Terms in italics are elaborated in the Range Statement. </w:t>
            </w:r>
          </w:p>
        </w:tc>
      </w:tr>
    </w:tbl>
    <w:p w:rsidR="00000000" w:rsidRPr="001E2850" w:rsidP="001E2850">
      <w:pPr>
        <w:pStyle w:val="BodyText"/>
      </w:pPr>
    </w:p>
    <w:p w:rsidR="00000000" w:rsidRPr="001E2850" w:rsidP="001E2850">
      <w:pPr>
        <w:pStyle w:val="AllowPageBreak"/>
      </w:pPr>
    </w:p>
    <w:p w:rsidR="00000000" w:rsidRPr="001E2850" w:rsidP="001E2850">
      <w:pPr>
        <w:pStyle w:val="Heading1"/>
      </w:pPr>
      <w:bookmarkStart w:id="8" w:name="O_429637"/>
      <w:bookmarkEnd w:id="8"/>
      <w:r w:rsidRPr="001E2850">
        <w:t>Elements and Performance Criteria</w:t>
      </w:r>
    </w:p>
    <w:tbl>
      <w:tblPr>
        <w:tblW w:w="0" w:type="auto"/>
        <w:tblLayout w:type="fixed"/>
        <w:tblCellMar>
          <w:left w:w="62" w:type="dxa"/>
          <w:right w:w="62" w:type="dxa"/>
        </w:tblCellMar>
        <w:tblLook w:val="0000"/>
      </w:tblPr>
      <w:tblGrid>
        <w:gridCol w:w="3369"/>
        <w:gridCol w:w="5702"/>
      </w:tblGrid>
      <w:tr w:rsidTr="00903EE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SpecialBold"/>
              </w:rPr>
              <w:t>PERFORMANCE CRITERIA</w:t>
            </w:r>
          </w:p>
        </w:tc>
      </w:tr>
      <w:tr w:rsidTr="00903E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2850">
            <w:pPr>
              <w:pStyle w:val="List"/>
              <w:rPr>
                <w:lang w:val="en-NZ"/>
              </w:rPr>
            </w:pPr>
            <w:r w:rsidRPr="001E2850">
              <w:t>1.</w:t>
            </w:r>
            <w:r w:rsidRPr="001E2850">
              <w:tab/>
            </w:r>
            <w:r w:rsidRPr="001E2850">
              <w:t xml:space="preserve">Establish the </w:t>
            </w:r>
            <w:r w:rsidRPr="001E2850">
              <w:rPr>
                <w:rStyle w:val="Emphasis"/>
              </w:rPr>
              <w:t>representative role</w:t>
            </w:r>
            <w:r w:rsidRPr="001E2850">
              <w:t xml:space="preserve"> and process</w:t>
            </w:r>
          </w:p>
        </w:tc>
        <w:tc>
          <w:tcPr>
            <w:tcW w:w="5702"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t>1.1</w:t>
            </w:r>
            <w:r w:rsidRPr="001E2850">
              <w:tab/>
              <w:t xml:space="preserve">Identify role, processes and </w:t>
            </w:r>
            <w:r w:rsidRPr="001E2850">
              <w:rPr>
                <w:rStyle w:val="Emphasis"/>
              </w:rPr>
              <w:t>conditions of representation</w:t>
            </w:r>
            <w:r w:rsidRPr="001E2850">
              <w:t xml:space="preserve"> in consultation with individuals and key groups</w:t>
            </w:r>
          </w:p>
          <w:p w:rsidR="00000000" w:rsidRPr="001E2850" w:rsidP="001E2850">
            <w:pPr>
              <w:pStyle w:val="BodyText"/>
            </w:pPr>
            <w:r w:rsidRPr="001E2850">
              <w:t>1.2</w:t>
            </w:r>
            <w:r w:rsidRPr="001E2850">
              <w:tab/>
              <w:t xml:space="preserve">Seek the </w:t>
            </w:r>
            <w:r w:rsidRPr="001E2850">
              <w:rPr>
                <w:rStyle w:val="Emphasis"/>
              </w:rPr>
              <w:t>support</w:t>
            </w:r>
            <w:r w:rsidRPr="001E2850">
              <w:t xml:space="preserve"> of </w:t>
            </w:r>
            <w:r w:rsidRPr="001E2850">
              <w:rPr>
                <w:rStyle w:val="Emphasis"/>
              </w:rPr>
              <w:t>key people</w:t>
            </w:r>
          </w:p>
          <w:p w:rsidR="00000000" w:rsidP="001E2850">
            <w:pPr>
              <w:pStyle w:val="BodyText"/>
              <w:rPr>
                <w:lang w:val="en-NZ"/>
              </w:rPr>
            </w:pPr>
            <w:r w:rsidRPr="001E2850">
              <w:t>1.3</w:t>
            </w:r>
            <w:r w:rsidRPr="001E2850">
              <w:tab/>
              <w:t>Determine and implement requirements for reporting and accoun</w:t>
            </w:r>
            <w:r w:rsidRPr="001E2850">
              <w:t>tability</w:t>
            </w:r>
          </w:p>
        </w:tc>
      </w:tr>
      <w:tr w:rsidTr="00903E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2850">
            <w:pPr>
              <w:pStyle w:val="List"/>
              <w:rPr>
                <w:lang w:val="en-NZ"/>
              </w:rPr>
            </w:pPr>
            <w:r w:rsidRPr="001E2850">
              <w:t>2.</w:t>
            </w:r>
            <w:r w:rsidRPr="001E2850">
              <w:tab/>
              <w:t>Participate in decision-making forums</w:t>
            </w:r>
          </w:p>
        </w:tc>
        <w:tc>
          <w:tcPr>
            <w:tcW w:w="5702"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t>2.1</w:t>
            </w:r>
            <w:r w:rsidRPr="001E2850">
              <w:tab/>
              <w:t>Identify relevant interests and concerns to be pursued in accordance with organisation positions and priorities</w:t>
            </w:r>
          </w:p>
          <w:p w:rsidR="00000000" w:rsidRPr="001E2850" w:rsidP="001E2850">
            <w:pPr>
              <w:pStyle w:val="BodyText"/>
            </w:pPr>
            <w:r w:rsidRPr="001E2850">
              <w:t>2.2</w:t>
            </w:r>
            <w:r w:rsidRPr="001E2850">
              <w:tab/>
              <w:t>Undertake work to provide a framework for pursuing promotion of relevant interests</w:t>
            </w:r>
          </w:p>
          <w:p w:rsidR="00000000" w:rsidRPr="001E2850" w:rsidP="001E2850">
            <w:pPr>
              <w:pStyle w:val="BodyText"/>
            </w:pPr>
            <w:r w:rsidRPr="001E2850">
              <w:t>2.3</w:t>
            </w:r>
            <w:r w:rsidRPr="001E2850">
              <w:tab/>
              <w:t xml:space="preserve">Create and respond routinely within work role to </w:t>
            </w:r>
            <w:r w:rsidRPr="001E2850">
              <w:rPr>
                <w:rStyle w:val="Emphasis"/>
              </w:rPr>
              <w:t>opportunities</w:t>
            </w:r>
            <w:r w:rsidRPr="001E2850">
              <w:t xml:space="preserve"> to reflect, promote and represent relevant interests </w:t>
            </w:r>
          </w:p>
          <w:p w:rsidR="00000000" w:rsidRPr="001E2850" w:rsidP="001E2850">
            <w:pPr>
              <w:pStyle w:val="BodyText"/>
            </w:pPr>
            <w:r w:rsidRPr="001E2850">
              <w:t>2.4</w:t>
            </w:r>
            <w:r w:rsidRPr="001E2850">
              <w:tab/>
              <w:t xml:space="preserve">Calculate and assess the potential impact of </w:t>
            </w:r>
            <w:r w:rsidRPr="001E2850">
              <w:rPr>
                <w:rStyle w:val="Emphasis"/>
              </w:rPr>
              <w:t>developments</w:t>
            </w:r>
            <w:r w:rsidRPr="001E2850">
              <w:t xml:space="preserve"> and decisions in terms of objectives and priorities</w:t>
            </w:r>
          </w:p>
          <w:p w:rsidR="00000000" w:rsidP="001E2850">
            <w:pPr>
              <w:pStyle w:val="BodyText"/>
              <w:rPr>
                <w:lang w:val="en-NZ"/>
              </w:rPr>
            </w:pPr>
            <w:r w:rsidRPr="001E2850">
              <w:t>2.5</w:t>
            </w:r>
            <w:r w:rsidRPr="001E2850">
              <w:tab/>
              <w:t>Provide progress</w:t>
            </w:r>
            <w:r w:rsidRPr="001E2850">
              <w:t xml:space="preserve"> and other reports and feedback to </w:t>
            </w:r>
            <w:r w:rsidRPr="001E2850">
              <w:rPr>
                <w:rStyle w:val="Emphasis"/>
              </w:rPr>
              <w:t>key people</w:t>
            </w:r>
            <w:r w:rsidRPr="001E2850">
              <w:t xml:space="preserve"> according to organisation requirements</w:t>
            </w:r>
          </w:p>
        </w:tc>
      </w:tr>
      <w:tr w:rsidTr="00903E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2850">
            <w:pPr>
              <w:pStyle w:val="List"/>
              <w:rPr>
                <w:lang w:val="en-NZ"/>
              </w:rPr>
            </w:pPr>
            <w:r w:rsidRPr="001E2850">
              <w:t>3.</w:t>
            </w:r>
            <w:r w:rsidRPr="001E2850">
              <w:tab/>
              <w:t xml:space="preserve">Negotiate outcomes and liaise with </w:t>
            </w:r>
            <w:r w:rsidRPr="001E2850">
              <w:rPr>
                <w:rStyle w:val="Emphasis"/>
              </w:rPr>
              <w:t>key people</w:t>
            </w:r>
          </w:p>
        </w:tc>
        <w:tc>
          <w:tcPr>
            <w:tcW w:w="5702"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t>3.1</w:t>
            </w:r>
            <w:r w:rsidRPr="001E2850">
              <w:tab/>
              <w:t>Identify and develop appropriate strategic alliances</w:t>
            </w:r>
          </w:p>
          <w:p w:rsidR="00000000" w:rsidRPr="001E2850" w:rsidP="001E2850">
            <w:pPr>
              <w:pStyle w:val="BodyText"/>
            </w:pPr>
            <w:r w:rsidRPr="001E2850">
              <w:t>3.2</w:t>
            </w:r>
            <w:r w:rsidRPr="001E2850">
              <w:tab/>
              <w:t xml:space="preserve">Promote and support collaborative planning and action </w:t>
            </w:r>
          </w:p>
          <w:p w:rsidR="00000000" w:rsidRPr="001E2850" w:rsidP="001E2850">
            <w:pPr>
              <w:pStyle w:val="BodyText"/>
            </w:pPr>
            <w:r w:rsidRPr="001E2850">
              <w:t>3.3</w:t>
            </w:r>
            <w:r w:rsidRPr="001E2850">
              <w:tab/>
              <w:t xml:space="preserve">Identify potential areas of conflict and implement strategies to address them </w:t>
            </w:r>
          </w:p>
          <w:p w:rsidR="00000000" w:rsidRPr="001E2850" w:rsidP="001E2850">
            <w:pPr>
              <w:pStyle w:val="BodyText"/>
            </w:pPr>
            <w:r w:rsidRPr="001E2850">
              <w:t>3.4</w:t>
            </w:r>
            <w:r w:rsidRPr="001E2850">
              <w:tab/>
              <w:t>Clearly determine and promote purpose and objectives</w:t>
            </w:r>
          </w:p>
          <w:p w:rsidR="00000000" w:rsidP="001E2850">
            <w:pPr>
              <w:pStyle w:val="BodyText"/>
              <w:rPr>
                <w:lang w:val="en-NZ"/>
              </w:rPr>
            </w:pPr>
            <w:r w:rsidRPr="001E2850">
              <w:t>3.5</w:t>
            </w:r>
            <w:r w:rsidRPr="001E2850">
              <w:tab/>
              <w:t>Undertake appropriate work with organising committees and board of management to maximise effectiveness</w:t>
            </w:r>
          </w:p>
        </w:tc>
      </w:tr>
      <w:tr w:rsidTr="00903E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E2850">
            <w:pPr>
              <w:pStyle w:val="List"/>
              <w:rPr>
                <w:lang w:val="en-NZ"/>
              </w:rPr>
            </w:pPr>
            <w:r w:rsidRPr="001E2850">
              <w:t>4.</w:t>
            </w:r>
            <w:r w:rsidRPr="001E2850">
              <w:tab/>
              <w:t>E</w:t>
            </w:r>
            <w:r w:rsidRPr="001E2850">
              <w:t>valuate effectiveness of strategies</w:t>
            </w:r>
          </w:p>
        </w:tc>
        <w:tc>
          <w:tcPr>
            <w:tcW w:w="5702"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t>4.1</w:t>
            </w:r>
            <w:r w:rsidRPr="001E2850">
              <w:tab/>
              <w:t>Analyse actual work outcomes and report against agreed objectives</w:t>
            </w:r>
          </w:p>
          <w:p w:rsidR="00000000" w:rsidRPr="001E2850" w:rsidP="001E2850">
            <w:pPr>
              <w:pStyle w:val="BodyText"/>
            </w:pPr>
            <w:r w:rsidRPr="001E2850">
              <w:t>4.2</w:t>
            </w:r>
            <w:r w:rsidRPr="001E2850">
              <w:tab/>
              <w:t>Implement adjustments to strategy according to the evaluation</w:t>
            </w:r>
          </w:p>
        </w:tc>
      </w:tr>
    </w:tbl>
    <w:p w:rsidR="00000000" w:rsidRPr="001E2850" w:rsidP="001E2850">
      <w:pPr>
        <w:pStyle w:val="BodyText"/>
      </w:pPr>
    </w:p>
    <w:p w:rsidR="00000000" w:rsidRPr="001E2850" w:rsidP="001E2850">
      <w:pPr>
        <w:pStyle w:val="AllowPageBreak"/>
      </w:pPr>
    </w:p>
    <w:p w:rsidR="00000000" w:rsidRPr="001E2850" w:rsidP="001E2850">
      <w:pPr>
        <w:pStyle w:val="Heading1"/>
      </w:pPr>
      <w:bookmarkStart w:id="9" w:name="O_429645"/>
      <w:bookmarkEnd w:id="9"/>
      <w:r w:rsidRPr="001E2850">
        <w:t>Required Skills and Knowledge</w:t>
      </w:r>
    </w:p>
    <w:tbl>
      <w:tblPr>
        <w:tblW w:w="0" w:type="auto"/>
        <w:tblLayout w:type="fixed"/>
        <w:tblCellMar>
          <w:left w:w="62" w:type="dxa"/>
          <w:right w:w="62" w:type="dxa"/>
        </w:tblCellMar>
        <w:tblLook w:val="0000"/>
      </w:tblPr>
      <w:tblGrid>
        <w:gridCol w:w="9072"/>
      </w:tblGrid>
      <w:tr w:rsidTr="00903EE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SpecialBold"/>
              </w:rPr>
              <w:t>REQUIRED SKILLS AND KNOWLEDGE</w:t>
            </w:r>
          </w:p>
        </w:tc>
      </w:tr>
      <w:tr w:rsidTr="00903E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t>This describes the essential skills and knowledge and their level required for this unit.</w:t>
            </w:r>
          </w:p>
        </w:tc>
      </w:tr>
      <w:tr w:rsidTr="00903E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rPr>
                <w:rStyle w:val="Emphasis"/>
              </w:rPr>
              <w:t>Essential knowledge</w:t>
            </w:r>
            <w:r w:rsidRPr="001E2850">
              <w:t>:</w:t>
            </w:r>
          </w:p>
          <w:p w:rsidR="00000000" w:rsidRPr="001E2850" w:rsidP="001E2850">
            <w:pPr>
              <w:pStyle w:val="BodyText"/>
            </w:pPr>
            <w:r w:rsidRPr="001E2850">
              <w:t>The candidate must be able to demonstrate essential knowledge required to effectively do the task outlined in elements and performance criteri</w:t>
            </w:r>
            <w:r w:rsidRPr="001E2850">
              <w:t>a of this unit, manage the task and manage contingencies in the context of the identified work role</w:t>
            </w:r>
          </w:p>
          <w:p w:rsidR="00000000" w:rsidRPr="001E2850" w:rsidP="001E2850">
            <w:pPr>
              <w:pStyle w:val="BodyText"/>
            </w:pPr>
            <w:r w:rsidRPr="001E2850">
              <w:t>These include knowledge of:</w:t>
            </w:r>
          </w:p>
          <w:p w:rsidR="00000000" w:rsidRPr="001E2850" w:rsidP="001E2850">
            <w:pPr>
              <w:pStyle w:val="ListBullet"/>
            </w:pPr>
            <w:r w:rsidRPr="001E2850">
              <w:t>Community consultation and decision-making processes</w:t>
            </w:r>
          </w:p>
          <w:p w:rsidR="00000000" w:rsidRPr="001E2850" w:rsidP="001E2850">
            <w:pPr>
              <w:pStyle w:val="ListBullet"/>
            </w:pPr>
            <w:r w:rsidRPr="001E2850">
              <w:t>Complex cultural awareness</w:t>
            </w:r>
          </w:p>
          <w:p w:rsidR="00000000" w:rsidRPr="001E2850" w:rsidP="001E2850">
            <w:pPr>
              <w:pStyle w:val="ListBullet"/>
            </w:pPr>
            <w:r w:rsidRPr="001E2850">
              <w:t>Depending on the work role or services provided, specific knowledge of particular groups or issues may be required, including:</w:t>
            </w:r>
          </w:p>
          <w:p w:rsidR="00000000" w:rsidRPr="001E2850" w:rsidP="001E2850">
            <w:pPr>
              <w:pStyle w:val="ListBullet2"/>
            </w:pPr>
            <w:r w:rsidRPr="001E2850">
              <w:t>Aboriginal and Torres Strait Islander people</w:t>
            </w:r>
          </w:p>
          <w:p w:rsidR="00000000" w:rsidRPr="001E2850" w:rsidP="001E2850">
            <w:pPr>
              <w:pStyle w:val="ListBullet2"/>
            </w:pPr>
            <w:r w:rsidRPr="001E2850">
              <w:t>ageing</w:t>
            </w:r>
          </w:p>
          <w:p w:rsidR="00000000" w:rsidRPr="001E2850" w:rsidP="001E2850">
            <w:pPr>
              <w:pStyle w:val="ListBullet2"/>
            </w:pPr>
            <w:r w:rsidRPr="001E2850">
              <w:t>alcohol and other drugs (AOD)</w:t>
            </w:r>
          </w:p>
          <w:p w:rsidR="00000000" w:rsidRPr="001E2850" w:rsidP="001E2850">
            <w:pPr>
              <w:pStyle w:val="ListBullet2"/>
            </w:pPr>
            <w:r w:rsidRPr="001E2850">
              <w:t>chronic illness</w:t>
            </w:r>
          </w:p>
          <w:p w:rsidR="00000000" w:rsidRPr="001E2850" w:rsidP="001E2850">
            <w:pPr>
              <w:pStyle w:val="ListBullet2"/>
            </w:pPr>
            <w:r w:rsidRPr="001E2850">
              <w:t>community education</w:t>
            </w:r>
          </w:p>
          <w:p w:rsidR="00000000" w:rsidRPr="001E2850" w:rsidP="001E2850">
            <w:pPr>
              <w:pStyle w:val="ListBullet2"/>
            </w:pPr>
            <w:r w:rsidRPr="001E2850">
              <w:t>cultural a</w:t>
            </w:r>
            <w:r w:rsidRPr="001E2850">
              <w:t>nd linguistic diversity</w:t>
            </w:r>
          </w:p>
          <w:p w:rsidR="00000000" w:rsidRPr="001E2850" w:rsidP="001E2850">
            <w:pPr>
              <w:pStyle w:val="ListBullet2"/>
            </w:pPr>
            <w:r w:rsidRPr="001E2850">
              <w:t>disability</w:t>
            </w:r>
          </w:p>
          <w:p w:rsidR="00000000" w:rsidRPr="001E2850" w:rsidP="001E2850">
            <w:pPr>
              <w:pStyle w:val="ListBullet2"/>
            </w:pPr>
            <w:r w:rsidRPr="001E2850">
              <w:t>men</w:t>
            </w:r>
          </w:p>
          <w:p w:rsidR="00000000" w:rsidRPr="001E2850" w:rsidP="001E2850">
            <w:pPr>
              <w:pStyle w:val="ListBullet2"/>
            </w:pPr>
            <w:r w:rsidRPr="001E2850">
              <w:t>mental health</w:t>
            </w:r>
          </w:p>
          <w:p w:rsidR="00000000" w:rsidRPr="001E2850" w:rsidP="001E2850">
            <w:pPr>
              <w:pStyle w:val="ListBullet2"/>
            </w:pPr>
            <w:r w:rsidRPr="001E2850">
              <w:t>people under 18 years of age</w:t>
            </w:r>
          </w:p>
          <w:p w:rsidR="00000000" w:rsidRPr="001E2850" w:rsidP="001E2850">
            <w:pPr>
              <w:pStyle w:val="ListBullet2"/>
            </w:pPr>
            <w:r w:rsidRPr="001E2850">
              <w:t>risk of self-harm</w:t>
            </w:r>
          </w:p>
          <w:p w:rsidR="00000000" w:rsidRPr="001E2850" w:rsidP="001E2850">
            <w:pPr>
              <w:pStyle w:val="ListBullet2"/>
            </w:pPr>
            <w:r w:rsidRPr="001E2850">
              <w:t>women</w:t>
            </w:r>
          </w:p>
          <w:p w:rsidR="00000000" w:rsidRPr="001E2850" w:rsidP="001E2850">
            <w:pPr>
              <w:pStyle w:val="ListBullet"/>
            </w:pPr>
            <w:r w:rsidRPr="001E2850">
              <w:t>Government legislation, regulations, policies and standards</w:t>
            </w:r>
          </w:p>
          <w:p w:rsidR="00000000" w:rsidRPr="001E2850" w:rsidP="001E2850">
            <w:pPr>
              <w:pStyle w:val="ListBullet"/>
            </w:pPr>
            <w:r w:rsidRPr="001E2850">
              <w:t>Industry and government processes</w:t>
            </w:r>
          </w:p>
          <w:p w:rsidR="00000000" w:rsidRPr="001E2850" w:rsidP="001E2850">
            <w:pPr>
              <w:pStyle w:val="ListBullet"/>
            </w:pPr>
            <w:r w:rsidRPr="001E2850">
              <w:t>Industry culture</w:t>
            </w:r>
          </w:p>
          <w:p w:rsidR="00000000" w:rsidRPr="001E2850" w:rsidP="001E2850">
            <w:pPr>
              <w:pStyle w:val="ListBullet"/>
            </w:pPr>
            <w:r w:rsidRPr="001E2850">
              <w:t>Legal processes regarding Power of Attorney and Guardianship</w:t>
            </w:r>
          </w:p>
          <w:p w:rsidR="00000000" w:rsidRPr="001E2850" w:rsidP="001E2850">
            <w:pPr>
              <w:pStyle w:val="ListBullet"/>
            </w:pPr>
            <w:r w:rsidRPr="001E2850">
              <w:t>Models of management/leadership</w:t>
            </w:r>
          </w:p>
          <w:p w:rsidR="00000000" w:rsidRPr="001E2850" w:rsidP="001E2850">
            <w:pPr>
              <w:pStyle w:val="ListBullet"/>
            </w:pPr>
            <w:r w:rsidRPr="001E2850">
              <w:t>Models of negotiation</w:t>
            </w:r>
          </w:p>
          <w:p w:rsidR="00000000" w:rsidRPr="001E2850" w:rsidP="001E2850">
            <w:pPr>
              <w:pStyle w:val="ListBullet"/>
            </w:pPr>
            <w:r w:rsidRPr="001E2850">
              <w:t>Nature and structure of the community services and health industries</w:t>
            </w:r>
          </w:p>
          <w:p w:rsidR="00000000" w:rsidRPr="001E2850" w:rsidP="001E2850">
            <w:pPr>
              <w:pStyle w:val="ListBullet"/>
            </w:pPr>
            <w:r w:rsidRPr="001E2850">
              <w:t>Power structures and relationships in the community</w:t>
            </w:r>
          </w:p>
          <w:p w:rsidR="00000000" w:rsidRPr="001E2850" w:rsidP="001E2850">
            <w:pPr>
              <w:pStyle w:val="ListBullet"/>
            </w:pPr>
            <w:r w:rsidRPr="001E2850">
              <w:t>Processes and struct</w:t>
            </w:r>
            <w:r w:rsidRPr="001E2850">
              <w:t>ures relevant to organisation goals and objectives or work role</w:t>
            </w:r>
          </w:p>
          <w:p w:rsidR="00000000" w:rsidRPr="001E2850" w:rsidP="001E2850">
            <w:pPr>
              <w:pStyle w:val="ListBullet"/>
            </w:pPr>
            <w:r w:rsidRPr="001E2850">
              <w:t>Processes and systems to support advocacy, including electronic campaigning</w:t>
            </w:r>
          </w:p>
          <w:p w:rsidR="00000000" w:rsidRPr="001E2850" w:rsidP="001E2850">
            <w:pPr>
              <w:pStyle w:val="ListBullet"/>
            </w:pPr>
            <w:r w:rsidRPr="001E2850">
              <w:t>Research methods</w:t>
            </w:r>
          </w:p>
          <w:p w:rsidR="00000000" w:rsidRPr="001E2850" w:rsidP="001E2850">
            <w:pPr>
              <w:pStyle w:val="ListBullet"/>
            </w:pPr>
            <w:r w:rsidRPr="001E2850">
              <w:t xml:space="preserve">Understanding that representation and advocacy are not decision-making on behalf of a client or on </w:t>
            </w:r>
            <w:r w:rsidRPr="001E2850">
              <w:t>behalf of a service provider</w:t>
            </w:r>
          </w:p>
          <w:p w:rsidR="00000000" w:rsidRPr="001E2850" w:rsidP="001E2850">
            <w:pPr>
              <w:pStyle w:val="ListBullet"/>
            </w:pPr>
            <w:r w:rsidRPr="001E2850">
              <w:t>Understanding the legal status of parents and guardians of people under the age of 18</w:t>
            </w:r>
          </w:p>
          <w:p w:rsidR="00000000" w:rsidRPr="001E2850" w:rsidP="001E2850">
            <w:pPr>
              <w:pStyle w:val="ListBullet"/>
            </w:pPr>
            <w:r w:rsidRPr="001E2850">
              <w:t>Understanding the processes of both individual advocacy and group advocacy</w:t>
            </w:r>
          </w:p>
          <w:p w:rsidR="00000000" w:rsidP="001E2850">
            <w:pPr>
              <w:pStyle w:val="ListBullet"/>
              <w:rPr>
                <w:lang w:val="en-NZ"/>
              </w:rPr>
            </w:pPr>
            <w:r w:rsidRPr="001E2850">
              <w:t>Working within an ethical framework</w:t>
            </w:r>
          </w:p>
        </w:tc>
      </w:tr>
      <w:tr w:rsidTr="00903E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E2850" w:rsidP="001E2850">
            <w:pPr>
              <w:pStyle w:val="BodyText"/>
            </w:pPr>
            <w:r w:rsidRPr="001E2850">
              <w:rPr>
                <w:rStyle w:val="Emphasis"/>
              </w:rPr>
              <w:t>Essential skills</w:t>
            </w:r>
            <w:r w:rsidRPr="001E2850">
              <w:t>:</w:t>
            </w:r>
          </w:p>
          <w:p w:rsidR="00000000" w:rsidRPr="001E2850" w:rsidP="001E2850">
            <w:pPr>
              <w:pStyle w:val="BodyText"/>
            </w:pPr>
            <w:r w:rsidRPr="001E2850">
              <w:t>It is critical that the candidate demonstrate the ability to:</w:t>
            </w:r>
          </w:p>
          <w:p w:rsidR="00000000" w:rsidRPr="001E2850" w:rsidP="001E2850">
            <w:pPr>
              <w:pStyle w:val="ListBullet"/>
            </w:pPr>
            <w:r w:rsidRPr="001E2850">
              <w:t>Advocate for client-oriented solutions to identified needs at the service delivery level and at policy level</w:t>
            </w:r>
          </w:p>
          <w:p w:rsidR="00000000" w:rsidRPr="001E2850" w:rsidP="001E2850">
            <w:pPr>
              <w:pStyle w:val="ListBullet"/>
            </w:pPr>
            <w:r w:rsidRPr="001E2850">
              <w:t xml:space="preserve">Demonstrate effective representation of individual and group concerns and interests </w:t>
            </w:r>
            <w:r w:rsidRPr="001E2850">
              <w:t>within the organisation, the community and the community services industry</w:t>
            </w:r>
          </w:p>
          <w:p w:rsidR="00000000" w:rsidRPr="001E2850" w:rsidP="001E2850">
            <w:pPr>
              <w:pStyle w:val="ListBullet"/>
            </w:pPr>
            <w:r w:rsidRPr="001E2850">
              <w:t>Develop client decision-making abilities and independence and foster personal growth</w:t>
            </w:r>
          </w:p>
          <w:p w:rsidR="00000000" w:rsidRPr="001E2850" w:rsidP="001E2850">
            <w:pPr>
              <w:pStyle w:val="ListBullet"/>
            </w:pPr>
            <w:r w:rsidRPr="001E2850">
              <w:t>Educate and assist clients to access appropriate services, supports and resources</w:t>
            </w:r>
          </w:p>
          <w:p w:rsidR="00000000" w:rsidRPr="001E2850" w:rsidP="001E2850">
            <w:pPr>
              <w:pStyle w:val="ListBullet"/>
            </w:pPr>
            <w:r w:rsidRPr="001E2850">
              <w:t>Establish work</w:t>
            </w:r>
            <w:r w:rsidRPr="001E2850">
              <w:t>ing relationship with clients, providers and funders</w:t>
            </w:r>
          </w:p>
          <w:p w:rsidR="00000000" w:rsidRPr="001E2850" w:rsidP="001E2850">
            <w:pPr>
              <w:pStyle w:val="ListBullet"/>
            </w:pPr>
            <w:r w:rsidRPr="001E2850">
              <w:t>Participate in a range of influencing, decision forming and/or decision-making forums, including electronic options</w:t>
            </w:r>
          </w:p>
          <w:p w:rsidR="00000000" w:rsidRPr="001E2850" w:rsidP="001E2850">
            <w:pPr>
              <w:pStyle w:val="ListBullet"/>
            </w:pPr>
            <w:r w:rsidRPr="001E2850">
              <w:t>Promote development/extension of services where service gaps are identified</w:t>
            </w:r>
          </w:p>
          <w:p w:rsidR="00000000" w:rsidRPr="001E2850" w:rsidP="001E2850">
            <w:pPr>
              <w:pStyle w:val="ListBullet"/>
            </w:pPr>
            <w:r w:rsidRPr="001E2850">
              <w:t>Support clients to be involved in advocacy and decision forming/making forums, including electronic options</w:t>
            </w:r>
          </w:p>
          <w:p w:rsidR="00000000" w:rsidRPr="001E2850" w:rsidP="001E2850">
            <w:pPr>
              <w:pStyle w:val="BodyText"/>
            </w:pPr>
            <w:r w:rsidRPr="001E2850">
              <w:t>In addition, the candidate must be able to effectively do the task outlined in elements and performance criteria of this unit, manage the task and m</w:t>
            </w:r>
            <w:r w:rsidRPr="001E2850">
              <w:t>anage contingencies in the context of the identified work role</w:t>
            </w:r>
          </w:p>
          <w:p w:rsidR="00000000" w:rsidRPr="001E2850" w:rsidP="001E2850">
            <w:pPr>
              <w:pStyle w:val="BodyText"/>
            </w:pPr>
            <w:r w:rsidRPr="001E2850">
              <w:t>These include the ability to:</w:t>
            </w:r>
          </w:p>
          <w:p w:rsidR="00000000" w:rsidRPr="001E2850" w:rsidP="001E2850">
            <w:pPr>
              <w:pStyle w:val="ListBullet"/>
            </w:pPr>
            <w:r w:rsidRPr="001E2850">
              <w:t>Demonstrate skills in:</w:t>
            </w:r>
          </w:p>
          <w:p w:rsidR="00000000" w:rsidRPr="001E2850" w:rsidP="001E2850">
            <w:pPr>
              <w:pStyle w:val="ListBullet2"/>
            </w:pPr>
            <w:r w:rsidRPr="001E2850">
              <w:t>complex communication</w:t>
            </w:r>
          </w:p>
          <w:p w:rsidR="00000000" w:rsidRPr="001E2850" w:rsidP="001E2850">
            <w:pPr>
              <w:pStyle w:val="ListBullet2"/>
            </w:pPr>
            <w:r w:rsidRPr="001E2850">
              <w:t>consultation</w:t>
            </w:r>
          </w:p>
          <w:p w:rsidR="00000000" w:rsidRPr="001E2850" w:rsidP="001E2850">
            <w:pPr>
              <w:pStyle w:val="ListBullet2"/>
            </w:pPr>
            <w:r w:rsidRPr="001E2850">
              <w:t>information gathering and situation analysis</w:t>
            </w:r>
          </w:p>
          <w:p w:rsidR="00000000" w:rsidRPr="001E2850" w:rsidP="001E2850">
            <w:pPr>
              <w:pStyle w:val="ListBullet2"/>
            </w:pPr>
            <w:r w:rsidRPr="001E2850">
              <w:t>leadership/management</w:t>
            </w:r>
          </w:p>
          <w:p w:rsidR="00000000" w:rsidRPr="001E2850" w:rsidP="001E2850">
            <w:pPr>
              <w:pStyle w:val="ListBullet2"/>
            </w:pPr>
            <w:r w:rsidRPr="001E2850">
              <w:t>negotiation</w:t>
            </w:r>
          </w:p>
          <w:p w:rsidR="00000000" w:rsidRPr="001E2850" w:rsidP="001E2850">
            <w:pPr>
              <w:pStyle w:val="ListBullet2"/>
            </w:pPr>
            <w:r w:rsidRPr="001E2850">
              <w:t>presentation</w:t>
            </w:r>
          </w:p>
          <w:p w:rsidR="00000000" w:rsidRPr="001E2850" w:rsidP="001E2850">
            <w:pPr>
              <w:pStyle w:val="ListBullet2"/>
            </w:pPr>
            <w:r w:rsidRPr="001E2850">
              <w:t>strategic p</w:t>
            </w:r>
            <w:r w:rsidRPr="001E2850">
              <w:t>lanning and outcomes measurement</w:t>
            </w:r>
          </w:p>
        </w:tc>
      </w:tr>
    </w:tbl>
    <w:p w:rsidR="00000000" w:rsidRPr="001E2850" w:rsidP="001E2850">
      <w:pPr>
        <w:pStyle w:val="BodyText"/>
      </w:pPr>
    </w:p>
    <w:p w:rsidR="00000000" w:rsidRPr="001E2850" w:rsidP="001E2850">
      <w:pPr>
        <w:pStyle w:val="AllowPageBreak"/>
      </w:pPr>
    </w:p>
    <w:p w:rsidR="00000000" w:rsidRPr="001E2850" w:rsidP="001E2850">
      <w:pPr>
        <w:pStyle w:val="Heading1"/>
      </w:pPr>
      <w:bookmarkStart w:id="10" w:name="O_429640"/>
      <w:bookmarkEnd w:id="10"/>
      <w:r w:rsidRPr="001E2850">
        <w:t>Evidence Guide</w:t>
      </w:r>
    </w:p>
    <w:tbl>
      <w:tblPr>
        <w:tblW w:w="0" w:type="auto"/>
        <w:tblLayout w:type="fixed"/>
        <w:tblCellMar>
          <w:left w:w="62" w:type="dxa"/>
          <w:right w:w="62" w:type="dxa"/>
        </w:tblCellMar>
        <w:tblLook w:val="0000"/>
      </w:tblPr>
      <w:tblGrid>
        <w:gridCol w:w="3402"/>
        <w:gridCol w:w="5670"/>
      </w:tblGrid>
      <w:tr w:rsidTr="00903E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SpecialBold"/>
              </w:rPr>
              <w:t>EVIDENCE GUIDE</w:t>
            </w:r>
          </w:p>
        </w:tc>
      </w:tr>
      <w:tr w:rsidTr="00903E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t xml:space="preserve">The evidence guide provides advice on assessment and must be read in conjunction with the Performance Criteria, Required Skills and Knowledge, </w:t>
            </w:r>
            <w:r w:rsidRPr="001E2850">
              <w:t>the Range Statement and the Assessment Guidelines for this Training Package.</w:t>
            </w:r>
          </w:p>
        </w:tc>
      </w:tr>
      <w:tr w:rsidTr="00903E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Critical aspects for assessment and evidence required to demonstrate this unit of competency</w:t>
            </w:r>
            <w:r w:rsidRPr="001E2850">
              <w:t xml:space="preserve">: </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The individual being assessed must provide evidence of specified essential knowledge as well as skills</w:t>
            </w:r>
          </w:p>
          <w:p w:rsidR="00000000" w:rsidRPr="001E2850" w:rsidP="001E2850">
            <w:pPr>
              <w:pStyle w:val="ListBullet"/>
            </w:pPr>
            <w:r w:rsidRPr="001E2850">
              <w:t>This unit can be assessed in the workplace, in the community or in a relevant simulation</w:t>
            </w:r>
          </w:p>
          <w:p w:rsidR="00000000" w:rsidP="001E2850">
            <w:pPr>
              <w:pStyle w:val="ListBullet"/>
              <w:rPr>
                <w:lang w:val="en-NZ"/>
              </w:rPr>
            </w:pPr>
            <w:r w:rsidRPr="001E2850">
              <w:t>Consistency in performance should consider the range of situatio</w:t>
            </w:r>
            <w:r w:rsidRPr="001E2850">
              <w:t>ns under which workers will provide advocacy and representation</w:t>
            </w: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Access and equity considerations</w:t>
            </w:r>
            <w:r w:rsidRPr="001E2850">
              <w:t>:</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All workers in community services should be aware of access, equity and human rights issues in relation to their own area of work</w:t>
            </w:r>
          </w:p>
          <w:p w:rsidR="00000000" w:rsidRPr="001E2850" w:rsidP="001E2850">
            <w:pPr>
              <w:pStyle w:val="ListBullet"/>
            </w:pPr>
            <w:r w:rsidRPr="001E2850">
              <w:t>All workers should develop their ability to work in culturally and linguistically diverse (CALD) environments</w:t>
            </w:r>
          </w:p>
          <w:p w:rsidR="00000000" w:rsidRPr="001E2850" w:rsidP="001E2850">
            <w:pPr>
              <w:pStyle w:val="ListBullet"/>
            </w:pPr>
            <w:r w:rsidRPr="001E2850">
              <w:t xml:space="preserve">In recognition of particular issues facing Aboriginal and Torres Strait Islander communities, workers should be aware of cultural, historical and </w:t>
            </w:r>
            <w:r w:rsidRPr="001E2850">
              <w:t>current issues impacting on Aboriginal and Torres Strait Islander people</w:t>
            </w:r>
          </w:p>
          <w:p w:rsidR="00000000" w:rsidP="001E2850">
            <w:pPr>
              <w:pStyle w:val="ListBullet"/>
              <w:rPr>
                <w:lang w:val="en-NZ"/>
              </w:rPr>
            </w:pPr>
            <w:r w:rsidRPr="001E2850">
              <w:t>Assessors and trainers must take into account relevant access and equity issues, in particular relating to factors impacting on Aboriginal and/or Torres Strait Islander clients and co</w:t>
            </w:r>
            <w:r w:rsidRPr="001E2850">
              <w:t>mmunities</w:t>
            </w: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Context of and specific resources for assessment</w:t>
            </w:r>
            <w:r w:rsidRPr="001E2850">
              <w:t xml:space="preserve">: </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This unit can be assessed independently, however holistic assessment practice with other community services units of competency is encouraged</w:t>
            </w:r>
          </w:p>
          <w:p w:rsidR="00000000" w:rsidRPr="001E2850" w:rsidP="001E2850">
            <w:pPr>
              <w:pStyle w:val="ListBullet"/>
            </w:pPr>
            <w:r w:rsidRPr="001E2850">
              <w:t>Resources required for assessment include access to:</w:t>
            </w:r>
          </w:p>
          <w:p w:rsidR="00000000" w:rsidRPr="001E2850" w:rsidP="001E2850">
            <w:pPr>
              <w:pStyle w:val="ListBullet2"/>
            </w:pPr>
            <w:r w:rsidRPr="001E2850">
              <w:t>an appropriate workplace or community where assessment can take place</w:t>
            </w:r>
          </w:p>
          <w:p w:rsidR="00000000" w:rsidP="001E2850">
            <w:pPr>
              <w:pStyle w:val="ListBullet2"/>
              <w:rPr>
                <w:lang w:val="en-NZ"/>
              </w:rPr>
            </w:pPr>
            <w:r w:rsidRPr="001E2850">
              <w:t>an environment where an accurate simulation can be undertaken for assessment purposes (e.g. case studies and role plays)</w:t>
            </w: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Method of assessment</w:t>
            </w:r>
            <w:r w:rsidRPr="001E2850">
              <w:t>:</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In cases where the learner does not have the opportunity to cover all relevant aspects in the work environment, the remainder should be assessed through realistic simulations, projects, previous relevant experience or oral questionin</w:t>
            </w:r>
            <w:r w:rsidRPr="001E2850">
              <w:t>g on 'What if?' scenarios</w:t>
            </w:r>
          </w:p>
          <w:p w:rsidR="00000000" w:rsidRPr="001E2850" w:rsidP="001E2850">
            <w:pPr>
              <w:pStyle w:val="ListBullet"/>
            </w:pPr>
            <w:r w:rsidRPr="001E2850">
              <w:t>Assessment of this unit of competency will usually include observation of processes and procedures, oral and/or written questioning on essential knowledge and skills and consideration of required attitudes</w:t>
            </w:r>
          </w:p>
          <w:p w:rsidR="00000000" w:rsidRPr="001E2850" w:rsidP="001E2850">
            <w:pPr>
              <w:pStyle w:val="ListBullet"/>
            </w:pPr>
            <w:r w:rsidRPr="001E2850">
              <w:t>Where performance is not</w:t>
            </w:r>
            <w:r w:rsidRPr="001E2850">
              <w:t xml:space="preserve"> directly observed and/or is required to be demonstrated over a 'period of time' and/or in a 'number of locations', any evidence should be authenticated by colleagues, supervisors, clients or other appropriate persons</w:t>
            </w:r>
          </w:p>
        </w:tc>
      </w:tr>
    </w:tbl>
    <w:p w:rsidR="00000000" w:rsidRPr="001E2850" w:rsidP="001E2850">
      <w:pPr>
        <w:pStyle w:val="BodyText"/>
      </w:pPr>
    </w:p>
    <w:p w:rsidR="00000000" w:rsidRPr="001E2850" w:rsidP="001E2850">
      <w:pPr>
        <w:pStyle w:val="AllowPageBreak"/>
      </w:pPr>
    </w:p>
    <w:p w:rsidR="00000000" w:rsidRPr="001E2850" w:rsidP="001E2850">
      <w:pPr>
        <w:pStyle w:val="Heading1"/>
      </w:pPr>
      <w:bookmarkStart w:id="11" w:name="O_429644"/>
      <w:bookmarkEnd w:id="11"/>
      <w:r w:rsidRPr="001E2850">
        <w:t>Range Statement</w:t>
      </w:r>
    </w:p>
    <w:tbl>
      <w:tblPr>
        <w:tblW w:w="0" w:type="auto"/>
        <w:tblLayout w:type="fixed"/>
        <w:tblCellMar>
          <w:left w:w="62" w:type="dxa"/>
          <w:right w:w="62" w:type="dxa"/>
        </w:tblCellMar>
        <w:tblLook w:val="0000"/>
      </w:tblPr>
      <w:tblGrid>
        <w:gridCol w:w="3402"/>
        <w:gridCol w:w="5670"/>
      </w:tblGrid>
      <w:tr w:rsidTr="00903EE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SpecialBold"/>
              </w:rPr>
              <w:t>RAN</w:t>
            </w:r>
            <w:r w:rsidRPr="001E2850">
              <w:rPr>
                <w:rStyle w:val="SpecialBold"/>
              </w:rPr>
              <w:t>GE STATEMENT</w:t>
            </w:r>
          </w:p>
        </w:tc>
      </w:tr>
      <w:tr w:rsidTr="00903E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t xml:space="preserve">The Range Statement relates to the unit of competency as a whole. It allows for different work environments and situations that may affect </w:t>
            </w:r>
            <w:r w:rsidRPr="001E2850">
              <w:t>performance. Add any essential operating conditions that may be present with training and assessment depending on the work situation, needs of the candidate, accessibility of the item, and local industry and regional contexts.</w:t>
            </w: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 xml:space="preserve">Representative role may </w:t>
            </w:r>
            <w:r w:rsidRPr="001E2850">
              <w:rPr>
                <w:rStyle w:val="Emphasis"/>
              </w:rPr>
              <w:t>include</w:t>
            </w:r>
            <w:r w:rsidRPr="001E2850">
              <w:t>:</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Action taken to influence decision-making processes</w:t>
            </w:r>
          </w:p>
          <w:p w:rsidR="00000000" w:rsidRPr="001E2850" w:rsidP="001E2850">
            <w:pPr>
              <w:pStyle w:val="ListBullet"/>
            </w:pPr>
            <w:r w:rsidRPr="001E2850">
              <w:t>Advancing the interests of the community through decision forming/making forums</w:t>
            </w:r>
          </w:p>
          <w:p w:rsidR="00000000" w:rsidRPr="001E2850" w:rsidP="001E2850">
            <w:pPr>
              <w:pStyle w:val="ListBullet"/>
            </w:pPr>
            <w:r w:rsidRPr="001E2850">
              <w:t xml:space="preserve">Developing and promoting the interests of the community services industry in a wide range of public forums where industry may include: </w:t>
            </w:r>
          </w:p>
          <w:p w:rsidR="00000000" w:rsidRPr="001E2850" w:rsidP="001E2850">
            <w:pPr>
              <w:pStyle w:val="ListBullet2"/>
            </w:pPr>
            <w:r w:rsidRPr="001E2850">
              <w:t>consumers</w:t>
            </w:r>
          </w:p>
          <w:p w:rsidR="00000000" w:rsidRPr="001E2850" w:rsidP="001E2850">
            <w:pPr>
              <w:pStyle w:val="ListBullet2"/>
            </w:pPr>
            <w:r w:rsidRPr="001E2850">
              <w:t>industrial representatives</w:t>
            </w:r>
          </w:p>
          <w:p w:rsidR="00000000" w:rsidRPr="001E2850" w:rsidP="001E2850">
            <w:pPr>
              <w:pStyle w:val="ListBullet2"/>
            </w:pPr>
            <w:r w:rsidRPr="001E2850">
              <w:t>organisations</w:t>
            </w:r>
          </w:p>
          <w:p w:rsidR="00000000" w:rsidRPr="001E2850" w:rsidP="001E2850">
            <w:pPr>
              <w:pStyle w:val="ListBullet2"/>
            </w:pPr>
            <w:r w:rsidRPr="001E2850">
              <w:t>programs</w:t>
            </w:r>
          </w:p>
          <w:p w:rsidR="00000000" w:rsidRPr="001E2850" w:rsidP="001E2850">
            <w:pPr>
              <w:pStyle w:val="ListBullet2"/>
            </w:pPr>
            <w:r w:rsidRPr="001E2850">
              <w:t>researchers</w:t>
            </w:r>
          </w:p>
          <w:p w:rsidR="00000000" w:rsidRPr="001E2850" w:rsidP="001E2850">
            <w:pPr>
              <w:pStyle w:val="ListBullet2"/>
            </w:pPr>
            <w:r w:rsidRPr="001E2850">
              <w:t>services</w:t>
            </w:r>
          </w:p>
          <w:p w:rsidR="00000000" w:rsidP="001E2850">
            <w:pPr>
              <w:pStyle w:val="ListBullet2"/>
              <w:rPr>
                <w:lang w:val="en-NZ"/>
              </w:rPr>
            </w:pPr>
            <w:r w:rsidRPr="001E2850">
              <w:t>training/education</w:t>
            </w: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Conditions of representation may include</w:t>
            </w:r>
            <w:r w:rsidRPr="001E2850">
              <w:t>:</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Authorisation, accountability and protocol</w:t>
            </w:r>
          </w:p>
          <w:p w:rsidR="00000000" w:rsidRPr="001E2850" w:rsidP="001E2850">
            <w:pPr>
              <w:pStyle w:val="ListBullet"/>
            </w:pPr>
            <w:r w:rsidRPr="001E2850">
              <w:t>Consultation and delegations</w:t>
            </w:r>
          </w:p>
          <w:p w:rsidR="00000000" w:rsidRPr="001E2850" w:rsidP="001E2850">
            <w:pPr>
              <w:pStyle w:val="ListBullet"/>
            </w:pPr>
            <w:r w:rsidRPr="001E2850">
              <w:t>Development of an industry position</w:t>
            </w:r>
          </w:p>
          <w:p w:rsidR="00000000" w:rsidRPr="001E2850" w:rsidP="001E2850">
            <w:pPr>
              <w:pStyle w:val="ListBullet"/>
            </w:pPr>
            <w:r w:rsidRPr="001E2850">
              <w:t>Existing community structures, systems, networks and processes</w:t>
            </w:r>
          </w:p>
          <w:p w:rsidR="00000000" w:rsidRPr="001E2850" w:rsidP="001E2850">
            <w:pPr>
              <w:pStyle w:val="ListBullet"/>
            </w:pPr>
            <w:r w:rsidRPr="001E2850">
              <w:t>Requirements of industry mechanisms, inclu</w:t>
            </w:r>
            <w:r w:rsidRPr="001E2850">
              <w:t>ding:</w:t>
            </w:r>
          </w:p>
          <w:p w:rsidR="00000000" w:rsidRPr="001E2850" w:rsidP="001E2850">
            <w:pPr>
              <w:pStyle w:val="ListBullet2"/>
            </w:pPr>
            <w:r w:rsidRPr="001E2850">
              <w:t>advisory/steering/reference committees</w:t>
            </w:r>
          </w:p>
          <w:p w:rsidR="00000000" w:rsidRPr="001E2850" w:rsidP="001E2850">
            <w:pPr>
              <w:pStyle w:val="ListBullet2"/>
            </w:pPr>
            <w:r w:rsidRPr="001E2850">
              <w:t>conferences/seminars</w:t>
            </w:r>
          </w:p>
          <w:p w:rsidR="00000000" w:rsidRPr="001E2850" w:rsidP="001E2850">
            <w:pPr>
              <w:pStyle w:val="ListBullet2"/>
            </w:pPr>
            <w:r w:rsidRPr="001E2850">
              <w:t>electronic advocacy</w:t>
            </w:r>
          </w:p>
          <w:p w:rsidR="00000000" w:rsidRPr="001E2850" w:rsidP="001E2850">
            <w:pPr>
              <w:pStyle w:val="ListBullet2"/>
            </w:pPr>
            <w:r w:rsidRPr="001E2850">
              <w:t>electronic campaigning</w:t>
            </w:r>
          </w:p>
          <w:p w:rsidR="00000000" w:rsidRPr="001E2850" w:rsidP="001E2850">
            <w:pPr>
              <w:pStyle w:val="ListBullet2"/>
            </w:pPr>
            <w:r w:rsidRPr="001E2850">
              <w:t>education</w:t>
            </w:r>
          </w:p>
          <w:p w:rsidR="00000000" w:rsidRPr="001E2850" w:rsidP="001E2850">
            <w:pPr>
              <w:pStyle w:val="ListBullet2"/>
            </w:pPr>
            <w:r w:rsidRPr="001E2850">
              <w:t>formal and informal networks</w:t>
            </w:r>
          </w:p>
          <w:p w:rsidR="00000000" w:rsidRPr="001E2850" w:rsidP="001E2850">
            <w:pPr>
              <w:pStyle w:val="ListBullet2"/>
            </w:pPr>
            <w:r w:rsidRPr="001E2850">
              <w:t>formal representative positions</w:t>
            </w:r>
          </w:p>
          <w:p w:rsidR="00000000" w:rsidRPr="001E2850" w:rsidP="001E2850">
            <w:pPr>
              <w:pStyle w:val="ListBullet2"/>
            </w:pPr>
            <w:r w:rsidRPr="001E2850">
              <w:t>peak industry and professional organisations</w:t>
            </w:r>
          </w:p>
          <w:p w:rsidR="00000000" w:rsidRPr="001E2850" w:rsidP="001E2850">
            <w:pPr>
              <w:pStyle w:val="ListBullet2"/>
            </w:pPr>
            <w:r w:rsidRPr="001E2850">
              <w:t>publications</w:t>
            </w:r>
          </w:p>
          <w:p w:rsidR="00000000" w:rsidRPr="001E2850" w:rsidP="001E2850">
            <w:pPr>
              <w:pStyle w:val="ListBullet2"/>
            </w:pPr>
            <w:r w:rsidRPr="001E2850">
              <w:t>submissions</w:t>
            </w:r>
          </w:p>
          <w:p w:rsidR="00000000" w:rsidRPr="001E2850" w:rsidP="001E2850">
            <w:pPr>
              <w:pStyle w:val="ListBullet2"/>
            </w:pPr>
            <w:r w:rsidRPr="001E2850">
              <w:t>training</w:t>
            </w:r>
          </w:p>
          <w:p w:rsidR="00000000" w:rsidRPr="001E2850" w:rsidP="001E2850">
            <w:pPr>
              <w:pStyle w:val="ListBullet"/>
            </w:pPr>
            <w:r w:rsidRPr="001E2850">
              <w:t>Resources</w:t>
            </w:r>
          </w:p>
          <w:p w:rsidR="00000000" w:rsidRPr="001E2850" w:rsidP="001E2850">
            <w:pPr>
              <w:pStyle w:val="ListBullet"/>
            </w:pPr>
            <w:r w:rsidRPr="001E2850">
              <w:t>Role of key people</w:t>
            </w:r>
          </w:p>
          <w:p w:rsidR="00000000" w:rsidRPr="001E2850" w:rsidP="001E2850">
            <w:pPr>
              <w:pStyle w:val="ListBullet"/>
            </w:pPr>
            <w:r w:rsidRPr="001E2850">
              <w:t>Scope, scale and parameters</w:t>
            </w:r>
          </w:p>
          <w:p w:rsidR="00000000" w:rsidP="001E2850">
            <w:pPr>
              <w:pStyle w:val="ListBullet"/>
              <w:rPr>
                <w:lang w:val="en-NZ"/>
              </w:rPr>
            </w:pPr>
            <w:r w:rsidRPr="001E2850">
              <w:t>Terms of reference</w:t>
            </w: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Support may be sought for</w:t>
            </w:r>
            <w:r w:rsidRPr="001E2850">
              <w:t>:</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Development of consultation and accountability structures</w:t>
            </w:r>
          </w:p>
          <w:p w:rsidR="00000000" w:rsidP="001E2850">
            <w:pPr>
              <w:pStyle w:val="ListBullet"/>
              <w:rPr>
                <w:lang w:val="en-NZ"/>
              </w:rPr>
            </w:pPr>
            <w:r w:rsidRPr="001E2850">
              <w:t>Development of industry positions</w:t>
            </w: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rPr>
          <w:trHeight w:val="2744"/>
        </w:trPr>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Key people may include</w:t>
            </w:r>
            <w:r w:rsidRPr="001E2850">
              <w:t>:</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Community leaders</w:t>
            </w:r>
          </w:p>
          <w:p w:rsidR="00000000" w:rsidRPr="001E2850" w:rsidP="001E2850">
            <w:pPr>
              <w:pStyle w:val="ListBullet"/>
            </w:pPr>
            <w:r w:rsidRPr="001E2850">
              <w:t>Experts</w:t>
            </w:r>
          </w:p>
          <w:p w:rsidR="00000000" w:rsidRPr="001E2850" w:rsidP="001E2850">
            <w:pPr>
              <w:pStyle w:val="ListBullet"/>
            </w:pPr>
            <w:r w:rsidRPr="001E2850">
              <w:t>Media</w:t>
            </w:r>
          </w:p>
          <w:p w:rsidR="00000000" w:rsidRPr="001E2850" w:rsidP="001E2850">
            <w:pPr>
              <w:pStyle w:val="ListBullet"/>
            </w:pPr>
            <w:r w:rsidRPr="001E2850">
              <w:t>Policy/decision-makers</w:t>
            </w:r>
          </w:p>
          <w:p w:rsidR="00000000" w:rsidRPr="001E2850" w:rsidP="001E2850">
            <w:pPr>
              <w:pStyle w:val="ListBullet"/>
            </w:pPr>
            <w:r w:rsidRPr="001E2850">
              <w:t>Resource managers</w:t>
            </w:r>
          </w:p>
          <w:p w:rsidR="00000000" w:rsidRPr="001E2850" w:rsidP="001E2850">
            <w:pPr>
              <w:pStyle w:val="ListBullet"/>
            </w:pPr>
            <w:r w:rsidRPr="001E2850">
              <w:t>Researchers</w:t>
            </w:r>
          </w:p>
          <w:p w:rsidR="00000000" w:rsidRPr="001E2850" w:rsidP="001E2850">
            <w:pPr>
              <w:pStyle w:val="ListBullet"/>
            </w:pPr>
            <w:r w:rsidRPr="001E2850">
              <w:t>Service user peak bodies/ groups</w:t>
            </w:r>
          </w:p>
          <w:p w:rsidR="00000000" w:rsidRPr="001E2850" w:rsidP="001E2850">
            <w:pPr>
              <w:pStyle w:val="ListBullet"/>
            </w:pPr>
            <w:r w:rsidRPr="001E2850">
              <w:t>Teachers</w:t>
            </w:r>
          </w:p>
          <w:p w:rsidR="00000000" w:rsidP="001E2850">
            <w:pPr>
              <w:pStyle w:val="ListBullet"/>
              <w:rPr>
                <w:lang w:val="en-NZ"/>
              </w:rPr>
            </w:pPr>
            <w:r w:rsidRPr="001E2850">
              <w:t>Trainers</w:t>
            </w: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Developments may include</w:t>
            </w:r>
            <w:r w:rsidRPr="001E2850">
              <w:t>:</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Social/political/economic/industrial changes</w:t>
            </w:r>
          </w:p>
          <w:p w:rsidR="00000000" w:rsidRPr="001E2850" w:rsidP="001E2850">
            <w:pPr>
              <w:pStyle w:val="ListBullet"/>
            </w:pPr>
            <w:r w:rsidRPr="001E2850">
              <w:t>Within and outside the organisation structures</w:t>
            </w:r>
          </w:p>
          <w:p w:rsidR="00000000" w:rsidRPr="001E2850" w:rsidP="001E2850">
            <w:pPr>
              <w:pStyle w:val="ListBullet"/>
            </w:pPr>
            <w:r w:rsidRPr="001E2850">
              <w:t>Government policy</w:t>
            </w:r>
          </w:p>
          <w:p w:rsidR="00000000" w:rsidRPr="001E2850" w:rsidP="001E2850">
            <w:pPr>
              <w:pStyle w:val="ListBullet"/>
            </w:pPr>
            <w:r w:rsidRPr="001E2850">
              <w:t>Ideology</w:t>
            </w:r>
          </w:p>
          <w:p w:rsidR="00000000" w:rsidRPr="001E2850" w:rsidP="001E2850">
            <w:pPr>
              <w:pStyle w:val="ListBullet"/>
            </w:pPr>
            <w:r w:rsidRPr="001E2850">
              <w:t>Education</w:t>
            </w:r>
          </w:p>
          <w:p w:rsidR="00000000" w:rsidRPr="001E2850" w:rsidP="001E2850">
            <w:pPr>
              <w:pStyle w:val="ListBullet"/>
            </w:pPr>
            <w:r w:rsidRPr="001E2850">
              <w:t>Research findings</w:t>
            </w:r>
          </w:p>
          <w:p w:rsidR="00000000" w:rsidP="001E2850">
            <w:pPr>
              <w:pStyle w:val="ListBullet"/>
              <w:rPr>
                <w:lang w:val="en-NZ"/>
              </w:rPr>
            </w:pPr>
            <w:r w:rsidRPr="001E2850">
              <w:t>Community change</w:t>
            </w: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p>
        </w:tc>
      </w:tr>
      <w:tr w:rsidTr="00903EE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E2850">
            <w:pPr>
              <w:pStyle w:val="BodyText"/>
              <w:rPr>
                <w:lang w:val="en-NZ"/>
              </w:rPr>
            </w:pPr>
            <w:r w:rsidRPr="001E2850">
              <w:rPr>
                <w:rStyle w:val="Emphasis"/>
              </w:rPr>
              <w:t>Opportunities may include</w:t>
            </w:r>
            <w:r w:rsidRPr="001E2850">
              <w:t>:</w:t>
            </w:r>
          </w:p>
        </w:tc>
        <w:tc>
          <w:tcPr>
            <w:tcW w:w="5670" w:type="dxa"/>
            <w:tcBorders>
              <w:top w:val="nil"/>
              <w:left w:val="nil"/>
              <w:bottom w:val="nil"/>
              <w:right w:val="nil"/>
            </w:tcBorders>
            <w:tcMar>
              <w:top w:w="0" w:type="dxa"/>
              <w:left w:w="62" w:type="dxa"/>
              <w:bottom w:w="0" w:type="dxa"/>
              <w:right w:w="62" w:type="dxa"/>
            </w:tcMar>
          </w:tcPr>
          <w:p w:rsidR="00000000" w:rsidRPr="001E2850" w:rsidP="001E2850">
            <w:pPr>
              <w:pStyle w:val="ListBullet"/>
            </w:pPr>
            <w:r w:rsidRPr="001E2850">
              <w:t>Events</w:t>
            </w:r>
          </w:p>
          <w:p w:rsidR="00000000" w:rsidRPr="001E2850" w:rsidP="001E2850">
            <w:pPr>
              <w:pStyle w:val="ListBullet"/>
            </w:pPr>
            <w:r w:rsidRPr="001E2850">
              <w:t>Publicity</w:t>
            </w:r>
          </w:p>
          <w:p w:rsidR="00000000" w:rsidRPr="001E2850" w:rsidP="001E2850">
            <w:pPr>
              <w:pStyle w:val="ListBullet"/>
            </w:pPr>
            <w:r w:rsidRPr="001E2850">
              <w:t>Committee membership</w:t>
            </w:r>
          </w:p>
          <w:p w:rsidR="00000000" w:rsidRPr="001E2850" w:rsidP="001E2850">
            <w:pPr>
              <w:pStyle w:val="ListBullet"/>
            </w:pPr>
            <w:r w:rsidRPr="001E2850">
              <w:t>Public presentations</w:t>
            </w:r>
          </w:p>
          <w:p w:rsidR="00000000" w:rsidRPr="001E2850" w:rsidP="001E2850">
            <w:pPr>
              <w:pStyle w:val="ListBullet"/>
            </w:pPr>
            <w:r w:rsidRPr="001E2850">
              <w:t>Media</w:t>
            </w:r>
          </w:p>
          <w:p w:rsidR="00000000" w:rsidRPr="001E2850" w:rsidP="001E2850">
            <w:pPr>
              <w:pStyle w:val="ListBullet"/>
            </w:pPr>
            <w:r w:rsidRPr="001E2850">
              <w:t>Policy development</w:t>
            </w:r>
          </w:p>
          <w:p w:rsidR="00000000" w:rsidRPr="001E2850" w:rsidP="001E2850">
            <w:pPr>
              <w:pStyle w:val="ListBullet"/>
            </w:pPr>
            <w:r w:rsidRPr="001E2850">
              <w:t>Special meetings/delegations</w:t>
            </w:r>
          </w:p>
        </w:tc>
      </w:tr>
    </w:tbl>
    <w:p w:rsidR="00000000" w:rsidRPr="001E2850" w:rsidP="001E2850">
      <w:pPr>
        <w:pStyle w:val="BodyText"/>
      </w:pPr>
    </w:p>
    <w:p w:rsidR="00000000" w:rsidRPr="001E2850" w:rsidP="001E2850">
      <w:pPr>
        <w:pStyle w:val="AllowPageBreak"/>
      </w:pPr>
    </w:p>
    <w:p w:rsidR="00000000" w:rsidRPr="001E2850" w:rsidP="001E2850">
      <w:pPr>
        <w:pStyle w:val="Heading1"/>
      </w:pPr>
      <w:bookmarkStart w:id="12" w:name="O_429647"/>
      <w:bookmarkEnd w:id="12"/>
      <w:r w:rsidRPr="001E2850">
        <w:t>Unit Sector(s)</w:t>
      </w:r>
    </w:p>
    <w:p w:rsidR="00000000" w:rsidRPr="001E2850" w:rsidP="001E2850">
      <w:pPr>
        <w:pStyle w:val="BodyText"/>
      </w:pPr>
      <w:r w:rsidRPr="001E2850">
        <w:t>Not Applicable</w:t>
      </w:r>
    </w:p>
    <w:p w:rsidR="00000000" w:rsidRPr="001E2850" w:rsidP="001E2850"/>
    <w:sectPr w:rsidSect="001E28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EEE" w:rsidP="00903E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EE" w:rsidP="001E2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3EEE" w:rsidP="001E28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3EEE" w:rsidP="001E28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3EEE" w:rsidP="00903E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EE" w:rsidP="001E2850">
    <w:pPr>
      <w:pStyle w:val="Header"/>
      <w:framePr w:wrap="around"/>
    </w:pPr>
    <w:r>
      <w:fldChar w:fldCharType="begin"/>
    </w:r>
    <w:r>
      <w:instrText xml:space="preserve"> TITLE   \* MERGEFORMAT </w:instrText>
    </w:r>
    <w:r>
      <w:fldChar w:fldCharType="separate"/>
    </w:r>
    <w:r>
      <w:t>CHCAD504B Provide advocacy and representation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3EEE" w:rsidP="001E28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86A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0F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745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8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2850"/>
    <w:pPr>
      <w:spacing w:before="360" w:after="60"/>
      <w:outlineLvl w:val="0"/>
    </w:pPr>
    <w:rPr>
      <w:sz w:val="32"/>
    </w:rPr>
  </w:style>
  <w:style w:type="paragraph" w:styleId="Heading2">
    <w:name w:val="heading 2"/>
    <w:basedOn w:val="HeadingBase"/>
    <w:next w:val="BodyText"/>
    <w:link w:val="Heading2Char"/>
    <w:qFormat/>
    <w:rsid w:val="001E2850"/>
    <w:pPr>
      <w:keepLines/>
      <w:spacing w:before="240" w:after="120"/>
      <w:outlineLvl w:val="1"/>
    </w:pPr>
    <w:rPr>
      <w:sz w:val="28"/>
      <w:szCs w:val="40"/>
    </w:rPr>
  </w:style>
  <w:style w:type="paragraph" w:styleId="Heading3">
    <w:name w:val="heading 3"/>
    <w:basedOn w:val="HeadingBase"/>
    <w:next w:val="BodyText"/>
    <w:link w:val="Heading3Char"/>
    <w:qFormat/>
    <w:rsid w:val="001E2850"/>
    <w:pPr>
      <w:spacing w:before="180" w:after="120"/>
      <w:outlineLvl w:val="2"/>
    </w:pPr>
    <w:rPr>
      <w:spacing w:val="-10"/>
      <w:kern w:val="32"/>
    </w:rPr>
  </w:style>
  <w:style w:type="paragraph" w:styleId="Heading4">
    <w:name w:val="heading 4"/>
    <w:basedOn w:val="HeadingBase"/>
    <w:next w:val="BodyText"/>
    <w:link w:val="Heading4Char"/>
    <w:qFormat/>
    <w:rsid w:val="001E2850"/>
    <w:pPr>
      <w:spacing w:before="160" w:after="120"/>
      <w:outlineLvl w:val="3"/>
    </w:pPr>
    <w:rPr>
      <w:sz w:val="22"/>
    </w:rPr>
  </w:style>
  <w:style w:type="paragraph" w:styleId="Heading5">
    <w:name w:val="heading 5"/>
    <w:basedOn w:val="HeadingBase"/>
    <w:next w:val="Normal"/>
    <w:link w:val="Heading5Char"/>
    <w:qFormat/>
    <w:rsid w:val="001E2850"/>
    <w:pPr>
      <w:spacing w:before="80"/>
      <w:outlineLvl w:val="4"/>
    </w:pPr>
    <w:rPr>
      <w:color w:val="918585"/>
      <w:sz w:val="20"/>
    </w:rPr>
  </w:style>
  <w:style w:type="paragraph" w:styleId="Heading6">
    <w:name w:val="heading 6"/>
    <w:basedOn w:val="HeadingBase"/>
    <w:next w:val="Normal"/>
    <w:link w:val="Heading6Char"/>
    <w:qFormat/>
    <w:rsid w:val="001E2850"/>
    <w:pPr>
      <w:spacing w:before="60"/>
      <w:outlineLvl w:val="5"/>
    </w:pPr>
    <w:rPr>
      <w:color w:val="918585"/>
      <w:sz w:val="20"/>
    </w:rPr>
  </w:style>
  <w:style w:type="paragraph" w:styleId="Heading7">
    <w:name w:val="heading 7"/>
    <w:basedOn w:val="Normal"/>
    <w:next w:val="Normal"/>
    <w:link w:val="Heading7Char"/>
    <w:qFormat/>
    <w:rsid w:val="001E2850"/>
    <w:pPr>
      <w:ind w:left="720"/>
      <w:outlineLvl w:val="6"/>
    </w:pPr>
    <w:rPr>
      <w:i/>
    </w:rPr>
  </w:style>
  <w:style w:type="paragraph" w:styleId="Heading8">
    <w:name w:val="heading 8"/>
    <w:basedOn w:val="Normal"/>
    <w:next w:val="Normal"/>
    <w:link w:val="Heading8Char"/>
    <w:qFormat/>
    <w:rsid w:val="001E2850"/>
    <w:pPr>
      <w:ind w:left="720"/>
      <w:outlineLvl w:val="7"/>
    </w:pPr>
    <w:rPr>
      <w:i/>
    </w:rPr>
  </w:style>
  <w:style w:type="paragraph" w:styleId="Heading9">
    <w:name w:val="heading 9"/>
    <w:basedOn w:val="Normal"/>
    <w:next w:val="Normal"/>
    <w:link w:val="Heading9Char"/>
    <w:qFormat/>
    <w:rsid w:val="001E2850"/>
    <w:pPr>
      <w:ind w:left="720"/>
      <w:outlineLvl w:val="8"/>
    </w:pPr>
    <w:rPr>
      <w:i/>
    </w:rPr>
  </w:style>
  <w:style w:type="character" w:default="1" w:styleId="DefaultParagraphFont">
    <w:name w:val="Default Paragraph Font"/>
    <w:uiPriority w:val="1"/>
    <w:unhideWhenUsed/>
    <w:rsid w:val="001E2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2850"/>
  </w:style>
  <w:style w:type="character" w:customStyle="1" w:styleId="Heading1Char">
    <w:name w:val="Heading 1 Char"/>
    <w:basedOn w:val="DefaultParagraphFont"/>
    <w:link w:val="Heading1"/>
    <w:rsid w:val="001E2850"/>
    <w:rPr>
      <w:rFonts w:ascii="Times New Roman" w:eastAsia="Times New Roman" w:hAnsi="Times New Roman" w:cs="Times New Roman"/>
      <w:b/>
      <w:sz w:val="32"/>
      <w:szCs w:val="20"/>
      <w:lang w:eastAsia="en-US"/>
    </w:rPr>
  </w:style>
  <w:style w:type="paragraph" w:styleId="BodyText">
    <w:name w:val="Body Text"/>
    <w:basedOn w:val="Normal"/>
    <w:link w:val="BodyTextChar"/>
    <w:rsid w:val="001E28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2850"/>
    <w:rPr>
      <w:rFonts w:ascii="Times New Roman" w:eastAsia="Times New Roman" w:hAnsi="Times New Roman" w:cs="Times New Roman"/>
      <w:sz w:val="24"/>
      <w:lang w:val="en-US" w:eastAsia="en-US"/>
    </w:rPr>
  </w:style>
  <w:style w:type="paragraph" w:styleId="Footer">
    <w:name w:val="footer"/>
    <w:basedOn w:val="Normal"/>
    <w:link w:val="FooterChar"/>
    <w:rsid w:val="001E2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2850"/>
    <w:rPr>
      <w:rFonts w:ascii="Times New Roman" w:eastAsia="Times New Roman" w:hAnsi="Times New Roman" w:cs="Times New Roman"/>
      <w:sz w:val="16"/>
      <w:lang w:val="en-US" w:eastAsia="en-US"/>
    </w:rPr>
  </w:style>
  <w:style w:type="paragraph" w:styleId="List">
    <w:name w:val="List"/>
    <w:basedOn w:val="BodyText"/>
    <w:next w:val="BodyText"/>
    <w:rsid w:val="001E2850"/>
    <w:pPr>
      <w:tabs>
        <w:tab w:val="left" w:pos="340"/>
      </w:tabs>
      <w:spacing w:before="60" w:after="60"/>
      <w:ind w:left="340" w:hanging="340"/>
    </w:pPr>
  </w:style>
  <w:style w:type="paragraph" w:styleId="ListBullet">
    <w:name w:val="List Bullet"/>
    <w:basedOn w:val="List"/>
    <w:rsid w:val="001E2850"/>
    <w:pPr>
      <w:numPr>
        <w:numId w:val="13"/>
      </w:numPr>
      <w:tabs>
        <w:tab w:val="clear" w:pos="340"/>
      </w:tabs>
      <w:spacing w:before="40" w:after="40"/>
    </w:pPr>
  </w:style>
  <w:style w:type="character" w:customStyle="1" w:styleId="SpecialBold">
    <w:name w:val="Special Bold"/>
    <w:basedOn w:val="DefaultParagraphFont"/>
    <w:rsid w:val="001E2850"/>
    <w:rPr>
      <w:b/>
      <w:spacing w:val="0"/>
    </w:rPr>
  </w:style>
  <w:style w:type="paragraph" w:styleId="ListBullet2">
    <w:name w:val="List Bullet 2"/>
    <w:basedOn w:val="List2"/>
    <w:rsid w:val="001E2850"/>
    <w:pPr>
      <w:numPr>
        <w:numId w:val="14"/>
      </w:numPr>
      <w:tabs>
        <w:tab w:val="clear" w:pos="680"/>
      </w:tabs>
    </w:pPr>
  </w:style>
  <w:style w:type="paragraph" w:styleId="Header">
    <w:name w:val="header"/>
    <w:basedOn w:val="Normal"/>
    <w:link w:val="HeaderChar"/>
    <w:rsid w:val="001E2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285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2850"/>
    <w:rPr>
      <w:i/>
    </w:rPr>
  </w:style>
  <w:style w:type="paragraph" w:customStyle="1" w:styleId="SuperHeading">
    <w:name w:val="SuperHeading"/>
    <w:basedOn w:val="Normal"/>
    <w:rsid w:val="001E2850"/>
    <w:pPr>
      <w:spacing w:before="240" w:after="120"/>
      <w:outlineLvl w:val="0"/>
    </w:pPr>
    <w:rPr>
      <w:rFonts w:ascii="Times New Roman" w:hAnsi="Times New Roman"/>
      <w:b/>
      <w:sz w:val="28"/>
    </w:rPr>
  </w:style>
  <w:style w:type="paragraph" w:customStyle="1" w:styleId="AllowPageBreak">
    <w:name w:val="AllowPageBreak"/>
    <w:rsid w:val="001E2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2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2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2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2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2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28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28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2850"/>
    <w:rPr>
      <w:rFonts w:ascii="Courier New" w:eastAsia="Times New Roman" w:hAnsi="Courier New" w:cs="Times New Roman"/>
      <w:i/>
      <w:szCs w:val="20"/>
      <w:lang w:val="en-US" w:eastAsia="en-US"/>
    </w:rPr>
  </w:style>
  <w:style w:type="paragraph" w:customStyle="1" w:styleId="HeadingBase">
    <w:name w:val="Heading Base"/>
    <w:rsid w:val="001E2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2850"/>
    <w:pPr>
      <w:tabs>
        <w:tab w:val="right" w:leader="dot" w:pos="9072"/>
      </w:tabs>
      <w:ind w:left="567"/>
    </w:pPr>
    <w:rPr>
      <w:szCs w:val="22"/>
    </w:rPr>
  </w:style>
  <w:style w:type="paragraph" w:customStyle="1" w:styleId="TOCBase">
    <w:name w:val="TOC Base"/>
    <w:rsid w:val="001E2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2850"/>
    <w:pPr>
      <w:tabs>
        <w:tab w:val="right" w:leader="dot" w:pos="9072"/>
      </w:tabs>
      <w:spacing w:before="40" w:after="40"/>
      <w:ind w:left="284"/>
    </w:pPr>
    <w:rPr>
      <w:rFonts w:ascii="Times New Roman" w:hAnsi="Times New Roman"/>
    </w:rPr>
  </w:style>
  <w:style w:type="paragraph" w:styleId="TOC1">
    <w:name w:val="toc 1"/>
    <w:basedOn w:val="TOCBase"/>
    <w:next w:val="Normal"/>
    <w:rsid w:val="001E28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2850"/>
    <w:pPr>
      <w:spacing w:before="5040"/>
      <w:jc w:val="center"/>
    </w:pPr>
    <w:rPr>
      <w:sz w:val="48"/>
      <w:szCs w:val="72"/>
      <w:lang w:val="en-US"/>
    </w:rPr>
  </w:style>
  <w:style w:type="character" w:customStyle="1" w:styleId="TitleChar">
    <w:name w:val="Title Char"/>
    <w:basedOn w:val="DefaultParagraphFont"/>
    <w:link w:val="Title"/>
    <w:rsid w:val="001E2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2850"/>
    <w:pPr>
      <w:tabs>
        <w:tab w:val="left" w:pos="3600"/>
        <w:tab w:val="left" w:pos="3958"/>
      </w:tabs>
    </w:pPr>
  </w:style>
  <w:style w:type="paragraph" w:customStyle="1" w:styleId="Note">
    <w:name w:val="Note"/>
    <w:basedOn w:val="BodyText"/>
    <w:rsid w:val="001E2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2850"/>
    <w:pPr>
      <w:framePr w:wrap="auto" w:hAnchor="text" w:y="6049"/>
    </w:pPr>
    <w:rPr>
      <w:color w:val="000000"/>
      <w:sz w:val="40"/>
    </w:rPr>
  </w:style>
  <w:style w:type="paragraph" w:customStyle="1" w:styleId="TOCTitle">
    <w:name w:val="TOCTitle"/>
    <w:basedOn w:val="Heading1"/>
    <w:rsid w:val="001E2850"/>
    <w:pPr>
      <w:spacing w:after="240"/>
      <w:jc w:val="center"/>
      <w:outlineLvl w:val="9"/>
    </w:pPr>
    <w:rPr>
      <w:caps/>
    </w:rPr>
  </w:style>
  <w:style w:type="paragraph" w:customStyle="1" w:styleId="Version">
    <w:name w:val="Version"/>
    <w:rsid w:val="001E2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2850"/>
    <w:pPr>
      <w:keepNext w:val="0"/>
      <w:tabs>
        <w:tab w:val="right" w:pos="4176"/>
      </w:tabs>
      <w:ind w:left="198" w:hanging="198"/>
    </w:pPr>
    <w:rPr>
      <w:rFonts w:ascii="Garamond" w:hAnsi="Garamond"/>
    </w:rPr>
  </w:style>
  <w:style w:type="paragraph" w:styleId="IndexHeading">
    <w:name w:val="index heading"/>
    <w:basedOn w:val="Normal"/>
    <w:next w:val="Index1"/>
    <w:semiHidden/>
    <w:rsid w:val="001E2850"/>
    <w:pPr>
      <w:spacing w:before="120" w:after="120"/>
    </w:pPr>
    <w:rPr>
      <w:rFonts w:ascii="Arial" w:hAnsi="Arial"/>
      <w:b/>
      <w:color w:val="918585"/>
      <w:sz w:val="24"/>
    </w:rPr>
  </w:style>
  <w:style w:type="paragraph" w:customStyle="1" w:styleId="Chapter">
    <w:name w:val="Chapter"/>
    <w:basedOn w:val="Normal"/>
    <w:rsid w:val="001E2850"/>
    <w:pPr>
      <w:spacing w:before="240"/>
    </w:pPr>
    <w:rPr>
      <w:rFonts w:ascii="Times New Roman" w:hAnsi="Times New Roman"/>
      <w:smallCaps/>
      <w:spacing w:val="80"/>
      <w:sz w:val="28"/>
    </w:rPr>
  </w:style>
  <w:style w:type="paragraph" w:customStyle="1" w:styleId="InChapter">
    <w:name w:val="InChapter"/>
    <w:basedOn w:val="Heading3"/>
    <w:rsid w:val="001E2850"/>
    <w:pPr>
      <w:spacing w:after="240"/>
      <w:outlineLvl w:val="9"/>
    </w:pPr>
    <w:rPr>
      <w:noProof/>
    </w:rPr>
  </w:style>
  <w:style w:type="paragraph" w:styleId="Index2">
    <w:name w:val="index 2"/>
    <w:basedOn w:val="Normal"/>
    <w:next w:val="Normal"/>
    <w:semiHidden/>
    <w:rsid w:val="001E2850"/>
    <w:pPr>
      <w:tabs>
        <w:tab w:val="right" w:pos="4176"/>
      </w:tabs>
      <w:ind w:left="568" w:hanging="284"/>
    </w:pPr>
    <w:rPr>
      <w:rFonts w:ascii="Garamond" w:hAnsi="Garamond"/>
    </w:rPr>
  </w:style>
  <w:style w:type="paragraph" w:customStyle="1" w:styleId="Byline">
    <w:name w:val="Byline"/>
    <w:rsid w:val="001E2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2850"/>
    <w:pPr>
      <w:tabs>
        <w:tab w:val="clear" w:pos="3600"/>
        <w:tab w:val="clear" w:pos="3958"/>
      </w:tabs>
      <w:jc w:val="right"/>
    </w:pPr>
  </w:style>
  <w:style w:type="paragraph" w:styleId="Caption">
    <w:name w:val="caption"/>
    <w:basedOn w:val="BodyText"/>
    <w:next w:val="Normal"/>
    <w:qFormat/>
    <w:rsid w:val="001E2850"/>
    <w:pPr>
      <w:framePr w:w="2268" w:hSpace="181" w:vSpace="181" w:wrap="around" w:vAnchor="text" w:hAnchor="page" w:x="1135" w:y="285" w:anchorLock="1"/>
    </w:pPr>
    <w:rPr>
      <w:i/>
    </w:rPr>
  </w:style>
  <w:style w:type="paragraph" w:customStyle="1" w:styleId="MiniTOCTitle">
    <w:name w:val="MiniTOCTitle"/>
    <w:basedOn w:val="Heading4"/>
    <w:rsid w:val="001E2850"/>
    <w:pPr>
      <w:spacing w:before="240"/>
      <w:outlineLvl w:val="9"/>
    </w:pPr>
    <w:rPr>
      <w:noProof/>
      <w:sz w:val="24"/>
    </w:rPr>
  </w:style>
  <w:style w:type="paragraph" w:customStyle="1" w:styleId="MiniTOCItem">
    <w:name w:val="MiniTOCItem"/>
    <w:basedOn w:val="ListBullet"/>
    <w:rsid w:val="001E2850"/>
    <w:pPr>
      <w:numPr>
        <w:numId w:val="0"/>
      </w:numPr>
      <w:tabs>
        <w:tab w:val="right" w:leader="dot" w:pos="6521"/>
      </w:tabs>
      <w:spacing w:before="0" w:after="0"/>
    </w:pPr>
  </w:style>
  <w:style w:type="paragraph" w:customStyle="1" w:styleId="TOFTitle">
    <w:name w:val="TOFTitle"/>
    <w:basedOn w:val="TOCTitle"/>
    <w:rsid w:val="001E2850"/>
  </w:style>
  <w:style w:type="paragraph" w:styleId="TableofFigures">
    <w:name w:val="table of figures"/>
    <w:basedOn w:val="Normal"/>
    <w:next w:val="Normal"/>
    <w:semiHidden/>
    <w:rsid w:val="001E2850"/>
    <w:pPr>
      <w:tabs>
        <w:tab w:val="right" w:leader="dot" w:pos="9072"/>
      </w:tabs>
      <w:ind w:left="970" w:hanging="403"/>
    </w:pPr>
    <w:rPr>
      <w:rFonts w:ascii="Times New Roman" w:hAnsi="Times New Roman"/>
      <w:b/>
    </w:rPr>
  </w:style>
  <w:style w:type="paragraph" w:styleId="ListNumber">
    <w:name w:val="List Number"/>
    <w:basedOn w:val="List"/>
    <w:rsid w:val="001E2850"/>
    <w:pPr>
      <w:numPr>
        <w:numId w:val="11"/>
      </w:numPr>
    </w:pPr>
  </w:style>
  <w:style w:type="character" w:customStyle="1" w:styleId="WingdingSymbols">
    <w:name w:val="Wingding Symbols"/>
    <w:rsid w:val="001E2850"/>
    <w:rPr>
      <w:rFonts w:ascii="Wingdings" w:hAnsi="Wingdings"/>
    </w:rPr>
  </w:style>
  <w:style w:type="paragraph" w:customStyle="1" w:styleId="TableHeading">
    <w:name w:val="Table Heading"/>
    <w:basedOn w:val="HeadingBase"/>
    <w:rsid w:val="001E2850"/>
    <w:pPr>
      <w:keepLines/>
      <w:pBdr>
        <w:bottom w:val="single" w:sz="6" w:space="1" w:color="918585"/>
      </w:pBdr>
      <w:spacing w:before="240"/>
    </w:pPr>
  </w:style>
  <w:style w:type="character" w:customStyle="1" w:styleId="HotSpot">
    <w:name w:val="HotSpot"/>
    <w:rsid w:val="001E2850"/>
    <w:rPr>
      <w:color w:val="0033CC"/>
      <w:u w:val="none"/>
    </w:rPr>
  </w:style>
  <w:style w:type="paragraph" w:customStyle="1" w:styleId="BodyTextRight">
    <w:name w:val="Body Text Right"/>
    <w:basedOn w:val="BodyText"/>
    <w:rsid w:val="001E2850"/>
    <w:pPr>
      <w:spacing w:before="0" w:after="0"/>
      <w:jc w:val="right"/>
    </w:pPr>
  </w:style>
  <w:style w:type="paragraph" w:styleId="Index3">
    <w:name w:val="index 3"/>
    <w:basedOn w:val="ListNumber2"/>
    <w:next w:val="Normal"/>
    <w:semiHidden/>
    <w:rsid w:val="001E2850"/>
    <w:pPr>
      <w:numPr>
        <w:numId w:val="0"/>
      </w:numPr>
      <w:tabs>
        <w:tab w:val="right" w:leader="dot" w:pos="4176"/>
      </w:tabs>
    </w:pPr>
  </w:style>
  <w:style w:type="paragraph" w:styleId="ListNumber2">
    <w:name w:val="List Number 2"/>
    <w:basedOn w:val="List2"/>
    <w:rsid w:val="001E2850"/>
    <w:pPr>
      <w:numPr>
        <w:numId w:val="10"/>
      </w:numPr>
      <w:tabs>
        <w:tab w:val="clear" w:pos="1060"/>
      </w:tabs>
    </w:pPr>
  </w:style>
  <w:style w:type="paragraph" w:customStyle="1" w:styleId="MarginNote">
    <w:name w:val="Margin Note"/>
    <w:basedOn w:val="BodyText"/>
    <w:rsid w:val="001E2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2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28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2850"/>
    <w:rPr>
      <w:sz w:val="32"/>
    </w:rPr>
  </w:style>
  <w:style w:type="paragraph" w:customStyle="1" w:styleId="HeadingProcedure">
    <w:name w:val="Heading Procedure"/>
    <w:basedOn w:val="HeadingBase"/>
    <w:next w:val="Normal"/>
    <w:rsid w:val="001E2850"/>
    <w:pPr>
      <w:tabs>
        <w:tab w:val="left" w:pos="0"/>
      </w:tabs>
      <w:spacing w:before="120" w:after="60"/>
    </w:pPr>
    <w:rPr>
      <w:i/>
      <w:color w:val="918585"/>
      <w:sz w:val="22"/>
    </w:rPr>
  </w:style>
  <w:style w:type="paragraph" w:customStyle="1" w:styleId="TableBodyText">
    <w:name w:val="Table Body Text"/>
    <w:basedOn w:val="BodyText"/>
    <w:rsid w:val="001E2850"/>
    <w:pPr>
      <w:spacing w:before="60" w:after="60"/>
    </w:pPr>
  </w:style>
  <w:style w:type="paragraph" w:styleId="ListContinue">
    <w:name w:val="List Continue"/>
    <w:basedOn w:val="List"/>
    <w:rsid w:val="001E2850"/>
    <w:pPr>
      <w:ind w:firstLine="0"/>
    </w:pPr>
  </w:style>
  <w:style w:type="paragraph" w:customStyle="1" w:styleId="ListNote">
    <w:name w:val="List Note"/>
    <w:basedOn w:val="List"/>
    <w:rsid w:val="001E2850"/>
    <w:pPr>
      <w:pBdr>
        <w:top w:val="single" w:sz="6" w:space="2" w:color="918585"/>
        <w:bottom w:val="single" w:sz="6" w:space="2" w:color="918585"/>
      </w:pBdr>
      <w:tabs>
        <w:tab w:val="left" w:pos="1021"/>
      </w:tabs>
      <w:ind w:firstLine="0"/>
    </w:pPr>
  </w:style>
  <w:style w:type="paragraph" w:customStyle="1" w:styleId="Warning">
    <w:name w:val="Warning"/>
    <w:basedOn w:val="BodyText"/>
    <w:rsid w:val="001E2850"/>
    <w:pPr>
      <w:shd w:val="clear" w:color="auto" w:fill="D9D9D9"/>
      <w:tabs>
        <w:tab w:val="left" w:pos="992"/>
      </w:tabs>
      <w:ind w:left="119" w:right="119"/>
    </w:pPr>
    <w:rPr>
      <w:sz w:val="20"/>
    </w:rPr>
  </w:style>
  <w:style w:type="paragraph" w:customStyle="1" w:styleId="MarginIcons">
    <w:name w:val="Margin Icons"/>
    <w:basedOn w:val="BodyText"/>
    <w:rsid w:val="001E2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2850"/>
    <w:rPr>
      <w:rFonts w:ascii="Courier New" w:hAnsi="Courier New"/>
    </w:rPr>
  </w:style>
  <w:style w:type="paragraph" w:customStyle="1" w:styleId="NoteBullet">
    <w:name w:val="Note Bullet"/>
    <w:basedOn w:val="Note"/>
    <w:rsid w:val="001E2850"/>
    <w:pPr>
      <w:tabs>
        <w:tab w:val="clear" w:pos="680"/>
      </w:tabs>
      <w:spacing w:before="60" w:after="60"/>
    </w:pPr>
  </w:style>
  <w:style w:type="paragraph" w:customStyle="1" w:styleId="SubHeading2">
    <w:name w:val="SubHeading2"/>
    <w:basedOn w:val="HeadingBase"/>
    <w:rsid w:val="001E2850"/>
    <w:pPr>
      <w:spacing w:before="240" w:after="60"/>
    </w:pPr>
    <w:rPr>
      <w:sz w:val="20"/>
    </w:rPr>
  </w:style>
  <w:style w:type="paragraph" w:customStyle="1" w:styleId="SubHeading1">
    <w:name w:val="SubHeading1"/>
    <w:basedOn w:val="HeadingBase"/>
    <w:rsid w:val="001E2850"/>
    <w:pPr>
      <w:spacing w:before="240" w:after="60"/>
    </w:pPr>
    <w:rPr>
      <w:color w:val="918585"/>
      <w:sz w:val="22"/>
    </w:rPr>
  </w:style>
  <w:style w:type="paragraph" w:customStyle="1" w:styleId="SideHeading">
    <w:name w:val="Side Heading"/>
    <w:basedOn w:val="HeadingBase"/>
    <w:rsid w:val="001E2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2850"/>
    <w:pPr>
      <w:numPr>
        <w:numId w:val="12"/>
      </w:numPr>
    </w:pPr>
  </w:style>
  <w:style w:type="paragraph" w:styleId="PlainText">
    <w:name w:val="Plain Text"/>
    <w:basedOn w:val="Normal"/>
    <w:link w:val="PlainTextChar"/>
    <w:rsid w:val="001E2850"/>
    <w:rPr>
      <w:sz w:val="20"/>
    </w:rPr>
  </w:style>
  <w:style w:type="character" w:customStyle="1" w:styleId="PlainTextChar">
    <w:name w:val="Plain Text Char"/>
    <w:basedOn w:val="DefaultParagraphFont"/>
    <w:link w:val="PlainText"/>
    <w:rsid w:val="001E28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2850"/>
    <w:rPr>
      <w:b/>
      <w:smallCaps/>
    </w:rPr>
  </w:style>
  <w:style w:type="paragraph" w:customStyle="1" w:styleId="TableListNumber">
    <w:name w:val="Table List Number"/>
    <w:basedOn w:val="ListNumber"/>
    <w:rsid w:val="001E2850"/>
    <w:pPr>
      <w:numPr>
        <w:numId w:val="0"/>
      </w:numPr>
    </w:pPr>
  </w:style>
  <w:style w:type="paragraph" w:styleId="TOC4">
    <w:name w:val="toc 4"/>
    <w:basedOn w:val="TOCBase"/>
    <w:next w:val="Normal"/>
    <w:semiHidden/>
    <w:rsid w:val="001E2850"/>
    <w:pPr>
      <w:tabs>
        <w:tab w:val="right" w:leader="dot" w:pos="9071"/>
      </w:tabs>
      <w:ind w:left="1701"/>
    </w:pPr>
  </w:style>
  <w:style w:type="paragraph" w:customStyle="1" w:styleId="ListAlpha">
    <w:name w:val="List Alpha"/>
    <w:basedOn w:val="List"/>
    <w:rsid w:val="001E2850"/>
    <w:pPr>
      <w:numPr>
        <w:numId w:val="9"/>
      </w:numPr>
    </w:pPr>
  </w:style>
  <w:style w:type="paragraph" w:customStyle="1" w:styleId="ListAlpha2">
    <w:name w:val="List Alpha 2"/>
    <w:basedOn w:val="List2"/>
    <w:rsid w:val="001E2850"/>
    <w:pPr>
      <w:numPr>
        <w:numId w:val="8"/>
      </w:numPr>
    </w:pPr>
  </w:style>
  <w:style w:type="paragraph" w:styleId="List2">
    <w:name w:val="List 2"/>
    <w:basedOn w:val="BodyText"/>
    <w:rsid w:val="001E2850"/>
    <w:pPr>
      <w:tabs>
        <w:tab w:val="left" w:pos="680"/>
      </w:tabs>
      <w:spacing w:before="60" w:after="60"/>
      <w:ind w:left="680" w:hanging="340"/>
    </w:pPr>
  </w:style>
  <w:style w:type="paragraph" w:styleId="List3">
    <w:name w:val="List 3"/>
    <w:basedOn w:val="BodyText"/>
    <w:rsid w:val="001E2850"/>
    <w:pPr>
      <w:tabs>
        <w:tab w:val="left" w:pos="1021"/>
      </w:tabs>
      <w:spacing w:before="60" w:after="60"/>
      <w:ind w:left="1020" w:hanging="340"/>
    </w:pPr>
  </w:style>
  <w:style w:type="paragraph" w:styleId="List4">
    <w:name w:val="List 4"/>
    <w:basedOn w:val="BodyText"/>
    <w:rsid w:val="001E2850"/>
    <w:pPr>
      <w:tabs>
        <w:tab w:val="left" w:pos="1361"/>
      </w:tabs>
      <w:spacing w:before="60" w:after="60"/>
      <w:ind w:left="1361" w:hanging="340"/>
    </w:pPr>
  </w:style>
  <w:style w:type="paragraph" w:styleId="List5">
    <w:name w:val="List 5"/>
    <w:basedOn w:val="BodyText"/>
    <w:rsid w:val="001E2850"/>
    <w:pPr>
      <w:tabs>
        <w:tab w:val="left" w:pos="1701"/>
      </w:tabs>
      <w:spacing w:before="60" w:after="60"/>
      <w:ind w:left="1701" w:hanging="340"/>
    </w:pPr>
  </w:style>
  <w:style w:type="paragraph" w:styleId="ListBullet3">
    <w:name w:val="List Bullet 3"/>
    <w:basedOn w:val="List3"/>
    <w:rsid w:val="001E2850"/>
    <w:pPr>
      <w:numPr>
        <w:numId w:val="15"/>
      </w:numPr>
      <w:tabs>
        <w:tab w:val="clear" w:pos="1021"/>
      </w:tabs>
      <w:ind w:left="1037" w:hanging="357"/>
    </w:pPr>
  </w:style>
  <w:style w:type="paragraph" w:styleId="ListBullet4">
    <w:name w:val="List Bullet 4"/>
    <w:basedOn w:val="List4"/>
    <w:rsid w:val="001E2850"/>
    <w:pPr>
      <w:numPr>
        <w:numId w:val="3"/>
      </w:numPr>
    </w:pPr>
  </w:style>
  <w:style w:type="paragraph" w:styleId="ListBullet5">
    <w:name w:val="List Bullet 5"/>
    <w:basedOn w:val="List5"/>
    <w:rsid w:val="001E2850"/>
    <w:pPr>
      <w:numPr>
        <w:numId w:val="4"/>
      </w:numPr>
    </w:pPr>
  </w:style>
  <w:style w:type="paragraph" w:styleId="ListContinue2">
    <w:name w:val="List Continue 2"/>
    <w:basedOn w:val="List2"/>
    <w:rsid w:val="001E2850"/>
    <w:pPr>
      <w:ind w:firstLine="0"/>
    </w:pPr>
  </w:style>
  <w:style w:type="paragraph" w:styleId="ListContinue3">
    <w:name w:val="List Continue 3"/>
    <w:basedOn w:val="List3"/>
    <w:rsid w:val="001E2850"/>
    <w:pPr>
      <w:ind w:left="1021" w:firstLine="0"/>
    </w:pPr>
  </w:style>
  <w:style w:type="paragraph" w:styleId="ListContinue4">
    <w:name w:val="List Continue 4"/>
    <w:basedOn w:val="List4"/>
    <w:rsid w:val="001E2850"/>
    <w:pPr>
      <w:ind w:firstLine="0"/>
    </w:pPr>
  </w:style>
  <w:style w:type="paragraph" w:styleId="ListContinue5">
    <w:name w:val="List Continue 5"/>
    <w:basedOn w:val="List5"/>
    <w:rsid w:val="001E2850"/>
    <w:pPr>
      <w:ind w:firstLine="0"/>
    </w:pPr>
  </w:style>
  <w:style w:type="paragraph" w:styleId="ListNumber3">
    <w:name w:val="List Number 3"/>
    <w:basedOn w:val="List3"/>
    <w:rsid w:val="001E2850"/>
    <w:pPr>
      <w:numPr>
        <w:numId w:val="5"/>
      </w:numPr>
    </w:pPr>
  </w:style>
  <w:style w:type="paragraph" w:styleId="ListNumber4">
    <w:name w:val="List Number 4"/>
    <w:basedOn w:val="List4"/>
    <w:rsid w:val="001E2850"/>
    <w:pPr>
      <w:numPr>
        <w:numId w:val="6"/>
      </w:numPr>
    </w:pPr>
  </w:style>
  <w:style w:type="paragraph" w:styleId="ListNumber5">
    <w:name w:val="List Number 5"/>
    <w:basedOn w:val="List5"/>
    <w:rsid w:val="001E2850"/>
    <w:pPr>
      <w:numPr>
        <w:numId w:val="7"/>
      </w:numPr>
    </w:pPr>
  </w:style>
  <w:style w:type="paragraph" w:styleId="BlockText">
    <w:name w:val="Block Text"/>
    <w:basedOn w:val="Normal"/>
    <w:rsid w:val="001E2850"/>
    <w:pPr>
      <w:spacing w:after="120"/>
      <w:ind w:left="1440" w:right="1440"/>
    </w:pPr>
  </w:style>
  <w:style w:type="character" w:customStyle="1" w:styleId="Subscript">
    <w:name w:val="Subscript"/>
    <w:basedOn w:val="DefaultParagraphFont"/>
    <w:rsid w:val="001E2850"/>
    <w:rPr>
      <w:sz w:val="16"/>
      <w:vertAlign w:val="subscript"/>
    </w:rPr>
  </w:style>
  <w:style w:type="character" w:customStyle="1" w:styleId="Superscript">
    <w:name w:val="Superscript"/>
    <w:basedOn w:val="DefaultParagraphFont"/>
    <w:rsid w:val="001E2850"/>
    <w:rPr>
      <w:sz w:val="16"/>
      <w:vertAlign w:val="superscript"/>
    </w:rPr>
  </w:style>
  <w:style w:type="character" w:customStyle="1" w:styleId="Symbols">
    <w:name w:val="Symbols"/>
    <w:basedOn w:val="DefaultParagraphFont"/>
    <w:rsid w:val="001E2850"/>
    <w:rPr>
      <w:rFonts w:ascii="Symbol" w:hAnsi="Symbol"/>
    </w:rPr>
  </w:style>
  <w:style w:type="character" w:customStyle="1" w:styleId="MenuOptions">
    <w:name w:val="Menu Options"/>
    <w:basedOn w:val="DefaultParagraphFont"/>
    <w:rsid w:val="001E2850"/>
    <w:rPr>
      <w:rFonts w:ascii="Arial Narrow" w:hAnsi="Arial Narrow"/>
      <w:smallCaps/>
    </w:rPr>
  </w:style>
  <w:style w:type="character" w:customStyle="1" w:styleId="Buttons">
    <w:name w:val="Buttons"/>
    <w:basedOn w:val="DefaultParagraphFont"/>
    <w:rsid w:val="001E2850"/>
    <w:rPr>
      <w:b/>
    </w:rPr>
  </w:style>
  <w:style w:type="character" w:customStyle="1" w:styleId="Underlined">
    <w:name w:val="Underlined"/>
    <w:basedOn w:val="DefaultParagraphFont"/>
    <w:rsid w:val="001E2850"/>
    <w:rPr>
      <w:u w:val="single"/>
    </w:rPr>
  </w:style>
  <w:style w:type="paragraph" w:customStyle="1" w:styleId="TableBodyTextRight">
    <w:name w:val="Table Body Text Right"/>
    <w:basedOn w:val="TableBodyText"/>
    <w:rsid w:val="001E2850"/>
    <w:pPr>
      <w:widowControl w:val="0"/>
      <w:autoSpaceDE w:val="0"/>
      <w:autoSpaceDN w:val="0"/>
      <w:adjustRightInd w:val="0"/>
      <w:jc w:val="right"/>
    </w:pPr>
    <w:rPr>
      <w:rFonts w:cs="Arial"/>
      <w:szCs w:val="18"/>
    </w:rPr>
  </w:style>
  <w:style w:type="paragraph" w:customStyle="1" w:styleId="CopyrightText">
    <w:name w:val="Copyright Text"/>
    <w:basedOn w:val="BodyText"/>
    <w:rsid w:val="001E2850"/>
    <w:rPr>
      <w:sz w:val="18"/>
    </w:rPr>
  </w:style>
  <w:style w:type="paragraph" w:customStyle="1" w:styleId="BodySmallRight">
    <w:name w:val="Body Small Right"/>
    <w:basedOn w:val="BodyTextRight"/>
    <w:rsid w:val="001E2850"/>
    <w:rPr>
      <w:sz w:val="18"/>
      <w:szCs w:val="18"/>
    </w:rPr>
  </w:style>
  <w:style w:type="paragraph" w:customStyle="1" w:styleId="MarginEdition">
    <w:name w:val="Margin Edition"/>
    <w:basedOn w:val="MarginNote"/>
    <w:rsid w:val="001E2850"/>
    <w:pPr>
      <w:spacing w:before="0" w:after="0"/>
    </w:pPr>
    <w:rPr>
      <w:rFonts w:ascii="Times New Roman" w:hAnsi="Times New Roman"/>
      <w:color w:val="999999"/>
    </w:rPr>
  </w:style>
  <w:style w:type="paragraph" w:customStyle="1" w:styleId="Spacer">
    <w:name w:val="Spacer"/>
    <w:basedOn w:val="Normal"/>
    <w:rsid w:val="001E2850"/>
    <w:rPr>
      <w:sz w:val="2"/>
      <w:szCs w:val="2"/>
    </w:rPr>
  </w:style>
  <w:style w:type="character" w:customStyle="1" w:styleId="Small">
    <w:name w:val="Small"/>
    <w:basedOn w:val="DefaultParagraphFont"/>
    <w:rsid w:val="001E2850"/>
    <w:rPr>
      <w:sz w:val="16"/>
    </w:rPr>
  </w:style>
  <w:style w:type="paragraph" w:customStyle="1" w:styleId="WideTable">
    <w:name w:val="Wide Table"/>
    <w:basedOn w:val="Normal"/>
    <w:rsid w:val="001E2850"/>
    <w:pPr>
      <w:ind w:left="-1418"/>
    </w:pPr>
    <w:rPr>
      <w:sz w:val="2"/>
      <w:szCs w:val="2"/>
    </w:rPr>
  </w:style>
  <w:style w:type="character" w:styleId="PageNumber">
    <w:name w:val="page number"/>
    <w:basedOn w:val="DefaultParagraphFont"/>
    <w:rsid w:val="001E2850"/>
  </w:style>
  <w:style w:type="paragraph" w:styleId="Quote">
    <w:name w:val="Quote"/>
    <w:basedOn w:val="Heading1"/>
    <w:link w:val="QuoteChar"/>
    <w:qFormat/>
    <w:rsid w:val="001E2850"/>
    <w:rPr>
      <w:b w:val="0"/>
      <w:sz w:val="72"/>
      <w:szCs w:val="72"/>
      <w:lang w:val="en-NZ"/>
    </w:rPr>
  </w:style>
  <w:style w:type="character" w:customStyle="1" w:styleId="QuoteChar">
    <w:name w:val="Quote Char"/>
    <w:basedOn w:val="DefaultParagraphFont"/>
    <w:link w:val="Quote"/>
    <w:rsid w:val="001E2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2850"/>
    <w:pPr>
      <w:pageBreakBefore/>
    </w:pPr>
  </w:style>
  <w:style w:type="paragraph" w:customStyle="1" w:styleId="Border">
    <w:name w:val="Border"/>
    <w:basedOn w:val="Normal"/>
    <w:qFormat/>
    <w:rsid w:val="001E2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2850"/>
    <w:rPr>
      <w:b/>
      <w:bCs/>
      <w:i/>
      <w:iCs/>
      <w:color w:val="auto"/>
    </w:rPr>
  </w:style>
  <w:style w:type="paragraph" w:styleId="IntenseQuote">
    <w:name w:val="Intense Quote"/>
    <w:basedOn w:val="Normal"/>
    <w:next w:val="Normal"/>
    <w:link w:val="IntenseQuoteChar"/>
    <w:uiPriority w:val="30"/>
    <w:qFormat/>
    <w:rsid w:val="001E2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28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2850"/>
    <w:rPr>
      <w:smallCaps/>
      <w:color w:val="auto"/>
      <w:u w:val="single"/>
    </w:rPr>
  </w:style>
  <w:style w:type="character" w:styleId="IntenseReference">
    <w:name w:val="Intense Reference"/>
    <w:basedOn w:val="DefaultParagraphFont"/>
    <w:uiPriority w:val="32"/>
    <w:qFormat/>
    <w:rsid w:val="001E2850"/>
    <w:rPr>
      <w:b/>
      <w:bCs/>
      <w:smallCaps/>
      <w:color w:val="auto"/>
      <w:spacing w:val="5"/>
      <w:u w:val="single"/>
    </w:rPr>
  </w:style>
  <w:style w:type="paragraph" w:customStyle="1" w:styleId="2ColumnHeading">
    <w:name w:val="2Column Heading"/>
    <w:basedOn w:val="BodyText"/>
    <w:qFormat/>
    <w:rsid w:val="001E2850"/>
    <w:pPr>
      <w:spacing w:after="60"/>
      <w:ind w:left="-2268"/>
    </w:pPr>
    <w:rPr>
      <w:b/>
    </w:rPr>
  </w:style>
  <w:style w:type="paragraph" w:customStyle="1" w:styleId="Heading1TOC">
    <w:name w:val="Heading1 TOC"/>
    <w:basedOn w:val="Normal"/>
    <w:qFormat/>
    <w:rsid w:val="001E2850"/>
    <w:pPr>
      <w:spacing w:before="240" w:after="120"/>
    </w:pPr>
    <w:rPr>
      <w:rFonts w:ascii="Times New Roman" w:hAnsi="Times New Roman"/>
      <w:b/>
      <w:sz w:val="32"/>
    </w:rPr>
  </w:style>
  <w:style w:type="paragraph" w:customStyle="1" w:styleId="Heading2TOC">
    <w:name w:val="Heading2 TOC"/>
    <w:basedOn w:val="Normal"/>
    <w:qFormat/>
    <w:rsid w:val="001E2850"/>
    <w:pPr>
      <w:spacing w:before="240" w:after="60"/>
    </w:pPr>
    <w:rPr>
      <w:rFonts w:ascii="Times New Roman" w:hAnsi="Times New Roman"/>
      <w:b/>
      <w:sz w:val="28"/>
    </w:rPr>
  </w:style>
  <w:style w:type="character" w:customStyle="1" w:styleId="Underline">
    <w:name w:val="Underline"/>
    <w:basedOn w:val="DefaultParagraphFont"/>
    <w:qFormat/>
    <w:rsid w:val="001E2850"/>
    <w:rPr>
      <w:u w:val="single"/>
    </w:rPr>
  </w:style>
  <w:style w:type="character" w:customStyle="1" w:styleId="BoldandItalics">
    <w:name w:val="Bold and Italics"/>
    <w:qFormat/>
    <w:rsid w:val="001E2850"/>
    <w:rPr>
      <w:b/>
      <w:i/>
      <w:u w:val="none"/>
    </w:rPr>
  </w:style>
  <w:style w:type="paragraph" w:styleId="BalloonText">
    <w:name w:val="Balloon Text"/>
    <w:basedOn w:val="Normal"/>
    <w:link w:val="BalloonTextChar"/>
    <w:rsid w:val="001E2850"/>
    <w:rPr>
      <w:rFonts w:ascii="Tahoma" w:hAnsi="Tahoma" w:cs="Tahoma"/>
      <w:sz w:val="16"/>
      <w:szCs w:val="16"/>
    </w:rPr>
  </w:style>
  <w:style w:type="character" w:customStyle="1" w:styleId="BalloonTextChar">
    <w:name w:val="Balloon Text Char"/>
    <w:basedOn w:val="DefaultParagraphFont"/>
    <w:link w:val="BalloonText"/>
    <w:rsid w:val="001E28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28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28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1426</Words>
  <Characters>9277</Characters>
  <Application>Microsoft Office Word</Application>
  <DocSecurity>0</DocSecurity>
  <Lines>344</Lines>
  <Paragraphs>192</Paragraphs>
  <ScaleCrop>false</ScaleCrop>
  <Company>Author-it Software Corporation Ltd.</Company>
  <LinksUpToDate>false</LinksUpToDate>
  <CharactersWithSpaces>10633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CHCAD504B Provide advocacy and representation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2012-05-26T22:46:00Z</dcterms:created>
  <dcterms:modified xsi:type="dcterms:W3CDTF">2012-05-26T22:46:00Z</dcterms:modified>
</cp:coreProperties>
</file>