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90B" w:rsidP="00A9590B">
      <w:pPr>
        <w:pStyle w:val="Title"/>
      </w:pPr>
      <w:r>
        <w:fldChar w:fldCharType="begin"/>
      </w:r>
      <w:r>
        <w:instrText xml:space="preserve"> TITLE   \* MERGEFORMAT </w:instrText>
      </w:r>
      <w:r>
        <w:fldChar w:fldCharType="separate"/>
      </w:r>
      <w:r>
        <w:t>CHCYTH301D Work effectively with young people</w:t>
      </w:r>
      <w:r>
        <w:fldChar w:fldCharType="end"/>
      </w:r>
    </w:p>
    <w:p w:rsidR="00A9590B" w:rsidP="00A9590B">
      <w:pPr>
        <w:pStyle w:val="Version"/>
        <w:sectPr w:rsidSect="002C0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321" w:rsidP="002C0321">
      <w:pPr>
        <w:pStyle w:val="SuperHeading"/>
      </w:pPr>
      <w:r w:rsidRPr="002C0321">
        <w:t>CHCYTH301D Work effectively with young people</w:t>
      </w:r>
    </w:p>
    <w:p w:rsidR="00000000" w:rsidRPr="002C0321" w:rsidP="002C0321">
      <w:pPr>
        <w:pStyle w:val="Heading1"/>
      </w:pPr>
      <w:bookmarkStart w:id="1" w:name="O_313076"/>
      <w:bookmarkEnd w:id="1"/>
      <w:r w:rsidRPr="002C0321">
        <w:t>Modification History</w:t>
      </w:r>
    </w:p>
    <w:p w:rsidR="00000000" w:rsidRPr="002C0321" w:rsidP="002C0321">
      <w:pPr>
        <w:pStyle w:val="Heading1"/>
      </w:pPr>
      <w:bookmarkStart w:id="2" w:name="O_313075"/>
      <w:bookmarkEnd w:id="2"/>
      <w:r w:rsidRPr="002C0321">
        <w:t>Unit Descriptor</w:t>
      </w:r>
    </w:p>
    <w:p w:rsidR="00000000" w:rsidRPr="002C0321" w:rsidP="002C0321">
      <w:pPr>
        <w:pStyle w:val="BodyText"/>
      </w:pPr>
      <w:r w:rsidRPr="002C0321">
        <w:t xml:space="preserve">This unit describes the knowledge and skills required to work with and for young people within an ethical, social, political </w:t>
      </w:r>
      <w:r w:rsidRPr="002C0321">
        <w:t>and economic context</w:t>
      </w:r>
    </w:p>
    <w:p w:rsidR="00000000" w:rsidRPr="002C0321" w:rsidP="002C0321">
      <w:pPr>
        <w:pStyle w:val="BodyText"/>
      </w:pPr>
      <w:r w:rsidRPr="002C0321">
        <w:t>This unit describes the knowledge and skills required to work with and for young people within an ethical, social, political and economic context</w:t>
      </w:r>
    </w:p>
    <w:p w:rsidR="00000000" w:rsidRPr="002C0321" w:rsidP="002C0321">
      <w:pPr>
        <w:pStyle w:val="AllowPageBreak"/>
      </w:pPr>
    </w:p>
    <w:p w:rsidR="00000000" w:rsidRPr="002C0321" w:rsidP="002C0321">
      <w:pPr>
        <w:pStyle w:val="Heading1"/>
      </w:pPr>
      <w:bookmarkStart w:id="3" w:name="O_313074"/>
      <w:bookmarkEnd w:id="3"/>
      <w:r w:rsidRPr="002C0321">
        <w:t>Application of the Unit</w:t>
      </w:r>
    </w:p>
    <w:p w:rsidR="00000000" w:rsidRPr="002C0321" w:rsidP="002C0321">
      <w:pPr>
        <w:pStyle w:val="BodyText"/>
      </w:pPr>
      <w:r w:rsidRPr="002C0321">
        <w:t>This unit may apply to community services work i</w:t>
      </w:r>
      <w:r w:rsidRPr="002C0321">
        <w:t>n a range of contexts</w:t>
      </w:r>
    </w:p>
    <w:p w:rsidR="00000000" w:rsidRPr="002C0321" w:rsidP="002C0321">
      <w:pPr>
        <w:pStyle w:val="BodyText"/>
      </w:pPr>
      <w:r w:rsidRPr="002C0321">
        <w:t>This unit may apply to community services work in a range of contexts</w:t>
      </w:r>
    </w:p>
    <w:p w:rsidR="00000000" w:rsidRPr="002C0321" w:rsidP="002C0321">
      <w:pPr>
        <w:pStyle w:val="AllowPageBreak"/>
      </w:pPr>
    </w:p>
    <w:p w:rsidR="00000000" w:rsidRPr="002C0321" w:rsidP="002C0321">
      <w:pPr>
        <w:pStyle w:val="Heading1"/>
      </w:pPr>
      <w:bookmarkStart w:id="4" w:name="O_313073"/>
      <w:bookmarkEnd w:id="4"/>
      <w:r w:rsidRPr="002C0321">
        <w:t>Licensing/Regulatory Information</w:t>
      </w:r>
    </w:p>
    <w:p w:rsidR="00000000" w:rsidRPr="002C0321" w:rsidP="002C0321">
      <w:pPr>
        <w:pStyle w:val="Heading1"/>
      </w:pPr>
      <w:bookmarkStart w:id="5" w:name="O_313066"/>
      <w:bookmarkEnd w:id="5"/>
      <w:r w:rsidRPr="002C0321">
        <w:t>Pre-Requisites</w:t>
      </w:r>
    </w:p>
    <w:p w:rsidR="00000000" w:rsidRPr="002C0321" w:rsidP="002C0321">
      <w:pPr>
        <w:pStyle w:val="Heading1"/>
      </w:pPr>
      <w:bookmarkStart w:id="6" w:name="O_313072"/>
      <w:bookmarkEnd w:id="6"/>
      <w:r w:rsidRPr="002C0321">
        <w:t>Employability Skills Information</w:t>
      </w:r>
    </w:p>
    <w:p w:rsidR="00000000" w:rsidRPr="002C0321" w:rsidP="002C0321">
      <w:pPr>
        <w:pStyle w:val="BodyText"/>
      </w:pPr>
      <w:r w:rsidRPr="002C0321">
        <w:t>This uni</w:t>
      </w:r>
      <w:r w:rsidRPr="002C0321">
        <w:t>t contains Employability Skills</w:t>
      </w:r>
    </w:p>
    <w:p w:rsidR="00000000" w:rsidRPr="002C0321" w:rsidP="002C0321">
      <w:pPr>
        <w:pStyle w:val="BodyText"/>
      </w:pPr>
      <w:r w:rsidRPr="002C0321">
        <w:t>This unit contains Employability Skills</w:t>
      </w:r>
    </w:p>
    <w:p w:rsidR="00000000" w:rsidRPr="002C0321" w:rsidP="002C0321">
      <w:pPr>
        <w:pStyle w:val="AllowPageBreak"/>
      </w:pPr>
    </w:p>
    <w:p w:rsidR="00000000" w:rsidRPr="002C0321" w:rsidP="002C0321">
      <w:pPr>
        <w:pStyle w:val="Heading1"/>
      </w:pPr>
      <w:bookmarkStart w:id="7" w:name="O_313077"/>
      <w:bookmarkEnd w:id="7"/>
      <w:r w:rsidRPr="002C0321">
        <w:t>Elements and Performance Criteria Pre-Content</w:t>
      </w:r>
    </w:p>
    <w:p w:rsidR="00000000" w:rsidRPr="002C0321" w:rsidP="002C0321">
      <w:pPr>
        <w:pStyle w:val="BodyText"/>
      </w:pPr>
      <w:r w:rsidRPr="002C0321">
        <w:t>Elements define the essential outcomes of a unit of competency.</w:t>
      </w:r>
    </w:p>
    <w:p w:rsidR="00000000" w:rsidRPr="002C0321" w:rsidP="002C0321">
      <w:pPr>
        <w:pStyle w:val="BodyText"/>
      </w:pPr>
      <w:r w:rsidRPr="002C0321">
        <w:t>The Performance Criteria specify the level of performance</w:t>
      </w:r>
      <w:r w:rsidRPr="002C0321">
        <w:t xml:space="preserve"> required to demonstrate achievement of the Element. Terms in italics are elaborated in the Range Statement. </w:t>
      </w:r>
    </w:p>
    <w:p w:rsidR="00000000" w:rsidRPr="002C0321" w:rsidP="002C0321">
      <w:pPr>
        <w:pStyle w:val="BodyText"/>
      </w:pPr>
      <w:r w:rsidRPr="002C0321">
        <w:t>Elements define the essential outcomes of a unit of competency.</w:t>
      </w:r>
    </w:p>
    <w:p w:rsidR="00000000" w:rsidRPr="002C0321" w:rsidP="002C0321">
      <w:pPr>
        <w:pStyle w:val="BodyText"/>
      </w:pPr>
      <w:r w:rsidRPr="002C0321">
        <w:t xml:space="preserve">The Performance Criteria specify the level of performance required to demonstrate </w:t>
      </w:r>
      <w:r w:rsidRPr="002C0321">
        <w:t xml:space="preserve">achievement of the Element. Terms in italics are elaborated in the Range Statement. </w:t>
      </w:r>
    </w:p>
    <w:p w:rsidR="00000000" w:rsidRPr="002C0321" w:rsidP="002C0321">
      <w:pPr>
        <w:pStyle w:val="AllowPageBreak"/>
      </w:pPr>
    </w:p>
    <w:p w:rsidR="00000000" w:rsidRPr="002C0321" w:rsidP="002C0321">
      <w:pPr>
        <w:pStyle w:val="Heading1"/>
      </w:pPr>
      <w:bookmarkStart w:id="8" w:name="O_313071"/>
      <w:bookmarkEnd w:id="8"/>
      <w:r w:rsidRPr="002C032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9590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Elements and Performance Criteria</w:t>
            </w:r>
          </w:p>
        </w:tc>
      </w:tr>
      <w:tr w:rsidTr="00A9590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Performance Criteria</w:t>
            </w:r>
          </w:p>
        </w:tc>
      </w:tr>
      <w:tr w:rsidTr="00A959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1</w:t>
            </w:r>
          </w:p>
        </w:tc>
        <w:tc>
          <w:tcPr>
            <w:tcW w:w="3000" w:type="dxa"/>
            <w:vMerge w:val="restart"/>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Develop a professional rapport with young people</w:t>
            </w: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1.1</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Conduct interactions with young people in a fair, just, humane and positive manner</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1.2</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Use communication strategies with individuals for effective interaction and problem solving</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1.3</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In all work demonstrate a consistent commitment to young people</w:t>
            </w:r>
          </w:p>
        </w:tc>
      </w:tr>
      <w:tr w:rsidTr="00A959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2</w:t>
            </w:r>
          </w:p>
        </w:tc>
        <w:tc>
          <w:tcPr>
            <w:tcW w:w="3000" w:type="dxa"/>
            <w:vMerge w:val="restart"/>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Address issues associated with the culture of young people</w:t>
            </w: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2.1</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In all actions and decisions, take into account the culture of the young person</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2.2</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Consider cultural sensitivities in comm</w:t>
            </w:r>
            <w:r w:rsidRPr="002C0321">
              <w:t>unication techniques and adapt style and language to accommodate different cultural values and practices</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2.3</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Evaluate issues in relation to young person's culture, family background and interest and modify approach appropriately</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2.4</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Select activities</w:t>
            </w:r>
            <w:r w:rsidRPr="002C0321">
              <w:t xml:space="preserve"> and resources to promote cross cultural awareness</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2.5</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Establish guidelines that are relevant to the culture and background of the young person</w:t>
            </w:r>
          </w:p>
        </w:tc>
      </w:tr>
      <w:tr w:rsidTr="00A959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3</w:t>
            </w:r>
          </w:p>
        </w:tc>
        <w:tc>
          <w:tcPr>
            <w:tcW w:w="3000" w:type="dxa"/>
            <w:vMerge w:val="restart"/>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Recognise that youth culture is distinct</w:t>
            </w: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3.1</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In all interventions, take account of youth culture the young</w:t>
            </w:r>
            <w:r w:rsidRPr="002C0321">
              <w:t xml:space="preserve"> person identifies with</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3.2</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Select activities and interventions to fit both individual and/or group needs of particular young people</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3.3</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Assist young people to negotiate positive outcomes within a political framework</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3.4</w:t>
            </w:r>
          </w:p>
        </w:tc>
        <w:tc>
          <w:tcPr>
            <w:tcW w:w="51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In all interventions, take account of their economic impact on young people</w:t>
            </w:r>
          </w:p>
        </w:tc>
      </w:tr>
      <w:tr w:rsidTr="00A959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3.5</w:t>
            </w:r>
          </w:p>
        </w:tc>
        <w:tc>
          <w:tcPr>
            <w:tcW w:w="51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In all work demonstrate a commitment to addressing any economic disadvantages young people experience</w:t>
            </w:r>
          </w:p>
        </w:tc>
      </w:tr>
    </w:tbl>
    <w:p w:rsidR="00000000" w:rsidRPr="002C0321" w:rsidP="002C0321">
      <w:pPr>
        <w:pStyle w:val="BodyText"/>
      </w:pPr>
    </w:p>
    <w:p w:rsidR="00000000" w:rsidRPr="002C0321" w:rsidP="002C0321">
      <w:pPr>
        <w:pStyle w:val="AllowPageBreak"/>
      </w:pPr>
    </w:p>
    <w:p w:rsidR="00000000" w:rsidRPr="002C0321" w:rsidP="002C0321">
      <w:pPr>
        <w:pStyle w:val="Heading1"/>
      </w:pPr>
      <w:bookmarkStart w:id="9" w:name="O_313070"/>
      <w:bookmarkEnd w:id="9"/>
      <w:r w:rsidRPr="002C0321">
        <w:t>Required Skills and Knowledge</w:t>
      </w:r>
    </w:p>
    <w:tbl>
      <w:tblPr>
        <w:tblW w:w="0" w:type="auto"/>
        <w:tblLayout w:type="fixed"/>
        <w:tblCellMar>
          <w:left w:w="62" w:type="dxa"/>
          <w:right w:w="62" w:type="dxa"/>
        </w:tblCellMar>
        <w:tblLook w:val="0000"/>
      </w:tblPr>
      <w:tblGrid>
        <w:gridCol w:w="9000"/>
      </w:tblGrid>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 xml:space="preserve">This describes the essential skills and knowledge and their level required for this unit. </w:t>
            </w:r>
          </w:p>
        </w:tc>
      </w:tr>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rPr>
                <w:rStyle w:val="SpecialBold"/>
              </w:rPr>
              <w:t>Essential knowledge</w:t>
            </w:r>
            <w:r w:rsidRPr="002C0321">
              <w:t>:</w:t>
            </w:r>
          </w:p>
          <w:p w:rsidR="00000000" w:rsidRPr="002C0321" w:rsidP="002C0321">
            <w:pPr>
              <w:pStyle w:val="BodyText"/>
            </w:pPr>
            <w:r w:rsidRPr="002C0321">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2C0321" w:rsidP="002C0321">
            <w:pPr>
              <w:pStyle w:val="BodyText"/>
            </w:pPr>
            <w:r w:rsidRPr="002C0321">
              <w:t>T</w:t>
            </w:r>
            <w:r w:rsidRPr="002C0321">
              <w:t>hese include knowledge of:</w:t>
            </w:r>
          </w:p>
          <w:p w:rsidR="00000000" w:rsidRPr="002C0321" w:rsidP="002C0321">
            <w:pPr>
              <w:pStyle w:val="BodyText"/>
            </w:pPr>
            <w:r w:rsidRPr="002C0321">
              <w:t>Own work role within the context of the youth sector</w:t>
            </w:r>
          </w:p>
          <w:p w:rsidR="00000000" w:rsidRPr="002C0321" w:rsidP="002C0321">
            <w:pPr>
              <w:pStyle w:val="BodyText"/>
            </w:pPr>
            <w:r w:rsidRPr="002C0321">
              <w:t>Organisation role within the context of the youth sector</w:t>
            </w:r>
          </w:p>
          <w:p w:rsidR="00000000" w:rsidRPr="002C0321" w:rsidP="002C0321">
            <w:pPr>
              <w:pStyle w:val="BodyText"/>
            </w:pPr>
            <w:r w:rsidRPr="002C0321">
              <w:t>Interrelationship of society, culture, the family and the young person</w:t>
            </w:r>
          </w:p>
          <w:p w:rsidR="00000000" w:rsidRPr="002C0321" w:rsidP="002C0321">
            <w:pPr>
              <w:pStyle w:val="BodyText"/>
            </w:pPr>
            <w:r w:rsidRPr="002C0321">
              <w:t>Aspects of human behaviour and development relat</w:t>
            </w:r>
            <w:r w:rsidRPr="002C0321">
              <w:t>ed to young people, their personal and social development and relationships</w:t>
            </w:r>
          </w:p>
          <w:p w:rsidR="00000000" w:rsidRPr="002C0321" w:rsidP="002C0321">
            <w:pPr>
              <w:pStyle w:val="BodyText"/>
            </w:pPr>
            <w:r w:rsidRPr="002C0321">
              <w:t>Principles of access and equity</w:t>
            </w:r>
          </w:p>
          <w:p w:rsidR="00000000" w:rsidRPr="002C0321" w:rsidP="002C0321">
            <w:pPr>
              <w:pStyle w:val="BodyText"/>
            </w:pPr>
            <w:r w:rsidRPr="002C0321">
              <w:t>Statutory framework in which the work takes place</w:t>
            </w:r>
          </w:p>
          <w:p w:rsidR="00000000" w:rsidRPr="002C0321" w:rsidP="002C0321">
            <w:pPr>
              <w:pStyle w:val="BodyText"/>
            </w:pPr>
            <w:r w:rsidRPr="002C0321">
              <w:t xml:space="preserve">Political and economic context as listed in the Range Statement </w:t>
            </w:r>
          </w:p>
          <w:p w:rsidR="00000000" w:rsidRPr="002C0321" w:rsidP="002C0321">
            <w:pPr>
              <w:pStyle w:val="BodyText"/>
            </w:pPr>
            <w:r w:rsidRPr="002C0321">
              <w:t>Current issues facing young peopl</w:t>
            </w:r>
            <w:r w:rsidRPr="002C0321">
              <w:t>e and existing services to address their needs and rights</w:t>
            </w:r>
          </w:p>
          <w:p w:rsidR="00000000" w:rsidRPr="002C0321" w:rsidP="002C0321">
            <w:pPr>
              <w:pStyle w:val="BodyText"/>
            </w:pPr>
            <w:r w:rsidRPr="002C0321">
              <w:t>Principles and practices of community support</w:t>
            </w:r>
          </w:p>
          <w:p w:rsidR="00000000" w:rsidP="002C0321">
            <w:pPr>
              <w:pStyle w:val="BodyText"/>
              <w:rPr>
                <w:lang w:val="en-NZ"/>
              </w:rPr>
            </w:pPr>
            <w:r w:rsidRPr="002C0321">
              <w:t xml:space="preserve">Youth cultures social, political and economic frameworks </w:t>
            </w:r>
          </w:p>
        </w:tc>
      </w:tr>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rPr>
                <w:rStyle w:val="SpecialBold"/>
              </w:rPr>
              <w:t>Essential skills</w:t>
            </w:r>
            <w:r w:rsidRPr="002C0321">
              <w:t>:</w:t>
            </w:r>
          </w:p>
          <w:p w:rsidR="00000000" w:rsidRPr="002C0321" w:rsidP="002C0321">
            <w:pPr>
              <w:pStyle w:val="BodyText"/>
            </w:pPr>
            <w:r w:rsidRPr="002C0321">
              <w:t>It is critical that the candidate demonstrate the ability to:</w:t>
            </w:r>
          </w:p>
          <w:p w:rsidR="00000000" w:rsidRPr="002C0321" w:rsidP="002C0321">
            <w:pPr>
              <w:pStyle w:val="BodyText"/>
            </w:pPr>
            <w:r w:rsidRPr="002C0321">
              <w:t>Prepare rep</w:t>
            </w:r>
            <w:r w:rsidRPr="002C0321">
              <w:t>orts such that the information and the way it is organised is appropriate to its purpose and audience</w:t>
            </w:r>
          </w:p>
          <w:p w:rsidR="00000000" w:rsidRPr="002C0321" w:rsidP="002C0321">
            <w:pPr>
              <w:pStyle w:val="BodyText"/>
            </w:pPr>
            <w:r w:rsidRPr="002C0321">
              <w:t>In addition, the candidate must be able to demonstrate relevant task skills; task management skills; contingency management skills and job/role environmen</w:t>
            </w:r>
            <w:r w:rsidRPr="002C0321">
              <w:t>t skills</w:t>
            </w:r>
          </w:p>
          <w:p w:rsidR="00000000" w:rsidRPr="002C0321" w:rsidP="002C0321">
            <w:pPr>
              <w:pStyle w:val="BodyText"/>
            </w:pPr>
            <w:r w:rsidRPr="002C0321">
              <w:t>These include the ability to:</w:t>
            </w:r>
          </w:p>
          <w:p w:rsidR="00000000" w:rsidRPr="002C0321" w:rsidP="002C0321">
            <w:pPr>
              <w:pStyle w:val="BodyText"/>
            </w:pPr>
            <w:r w:rsidRPr="002C0321">
              <w:t xml:space="preserve">Demonstrate application of skills in:   </w:t>
            </w:r>
          </w:p>
          <w:p w:rsidR="00000000" w:rsidRPr="002C0321" w:rsidP="002C0321">
            <w:pPr>
              <w:pStyle w:val="BodyText"/>
            </w:pPr>
            <w:r w:rsidRPr="002C0321">
              <w:t>interpersonal communication with young people and other stakeholders</w:t>
            </w:r>
          </w:p>
          <w:p w:rsidR="00000000" w:rsidRPr="002C0321" w:rsidP="002C0321">
            <w:pPr>
              <w:pStyle w:val="BodyText"/>
            </w:pPr>
            <w:r w:rsidRPr="002C0321">
              <w:t>working as part of a team or as a sole worker</w:t>
            </w:r>
          </w:p>
          <w:p w:rsidR="00000000" w:rsidRPr="002C0321" w:rsidP="002C0321">
            <w:pPr>
              <w:pStyle w:val="BodyText"/>
            </w:pPr>
            <w:r w:rsidRPr="002C0321">
              <w:t>communication</w:t>
            </w:r>
          </w:p>
          <w:p w:rsidR="00000000" w:rsidRPr="002C0321" w:rsidP="002C0321">
            <w:pPr>
              <w:pStyle w:val="BodyText"/>
            </w:pPr>
            <w:r w:rsidRPr="002C0321">
              <w:t>advocacy</w:t>
            </w:r>
          </w:p>
          <w:p w:rsidR="00000000" w:rsidP="002C0321">
            <w:pPr>
              <w:pStyle w:val="BodyText"/>
              <w:rPr>
                <w:lang w:val="en-NZ"/>
              </w:rPr>
            </w:pPr>
            <w:r w:rsidRPr="002C0321">
              <w:t xml:space="preserve">empathy </w:t>
            </w:r>
          </w:p>
        </w:tc>
      </w:tr>
      <w:tr w:rsidTr="00A959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C0321" w:rsidP="002C0321">
            <w:pPr>
              <w:pStyle w:val="BodyText"/>
            </w:pPr>
          </w:p>
        </w:tc>
      </w:tr>
    </w:tbl>
    <w:p w:rsidR="00000000" w:rsidRPr="002C0321" w:rsidP="002C0321">
      <w:pPr>
        <w:pStyle w:val="BodyText"/>
      </w:pPr>
    </w:p>
    <w:p w:rsidR="00000000" w:rsidRPr="002C0321" w:rsidP="002C0321">
      <w:pPr>
        <w:pStyle w:val="AllowPageBreak"/>
      </w:pPr>
    </w:p>
    <w:p w:rsidR="00000000" w:rsidRPr="002C0321" w:rsidP="002C0321">
      <w:pPr>
        <w:pStyle w:val="Heading1"/>
      </w:pPr>
      <w:bookmarkStart w:id="10" w:name="O_313069"/>
      <w:bookmarkEnd w:id="10"/>
      <w:r w:rsidRPr="002C0321">
        <w:t>Evidence Guide</w:t>
      </w:r>
    </w:p>
    <w:tbl>
      <w:tblPr>
        <w:tblW w:w="0" w:type="auto"/>
        <w:tblLayout w:type="fixed"/>
        <w:tblCellMar>
          <w:left w:w="62" w:type="dxa"/>
          <w:right w:w="62" w:type="dxa"/>
        </w:tblCellMar>
        <w:tblLook w:val="0000"/>
      </w:tblPr>
      <w:tblGrid>
        <w:gridCol w:w="4500"/>
        <w:gridCol w:w="4500"/>
      </w:tblGrid>
      <w:tr w:rsidTr="00A959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 xml:space="preserve">The evidence guide provides advice on assessment and must be read in conjunction with the Performance Criteria, Required Skills and Knowledge, the Range Statement and the Assessment Guidelines for this Training Package. </w:t>
            </w:r>
          </w:p>
        </w:tc>
      </w:tr>
      <w:tr w:rsidTr="00A959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Critical aspects for assessment and evidence required to demonstrate this unit of competency</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The individual being assessed must provide evidence of specified essential knowledge as well as skills</w:t>
            </w:r>
          </w:p>
          <w:p w:rsidR="00000000" w:rsidRPr="002C0321" w:rsidP="002C0321">
            <w:pPr>
              <w:pStyle w:val="BodyText"/>
            </w:pPr>
            <w:r w:rsidRPr="002C0321">
              <w:t>This unit is best assessed in the workplace or in a simul</w:t>
            </w:r>
            <w:r w:rsidRPr="002C0321">
              <w:t>ated workplace under the normal range of conditions</w:t>
            </w:r>
          </w:p>
          <w:p w:rsidR="00000000" w:rsidP="002C0321">
            <w:pPr>
              <w:pStyle w:val="BodyText"/>
              <w:rPr>
                <w:lang w:val="en-NZ"/>
              </w:rPr>
            </w:pPr>
            <w:r w:rsidRPr="002C0321">
              <w:t xml:space="preserve">Consistency in performance should consider the organisation and individual context within which work takes place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Access and equity considerations</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All workers in community services should be aware of access, equity and human rights issues in relation to their own area of work</w:t>
            </w:r>
          </w:p>
          <w:p w:rsidR="00000000" w:rsidRPr="002C0321" w:rsidP="002C0321">
            <w:pPr>
              <w:pStyle w:val="BodyText"/>
            </w:pPr>
            <w:r w:rsidRPr="002C0321">
              <w:t xml:space="preserve">All workers should develop their ability to work in a culturally diverse environment </w:t>
            </w:r>
          </w:p>
          <w:p w:rsidR="00000000" w:rsidRPr="002C0321" w:rsidP="002C0321">
            <w:pPr>
              <w:pStyle w:val="BodyText"/>
            </w:pPr>
            <w:r w:rsidRPr="002C0321">
              <w:t>In recognition of particular issues faci</w:t>
            </w:r>
            <w:r w:rsidRPr="002C0321">
              <w:t>ng Aboriginal and Torres Strait Islander communities, workers should be aware of cultural, historical and current issues impacting on Aboriginal and Torres Strait Islander people</w:t>
            </w:r>
          </w:p>
          <w:p w:rsidR="00000000" w:rsidP="002C0321">
            <w:pPr>
              <w:pStyle w:val="BodyText"/>
              <w:rPr>
                <w:lang w:val="en-NZ"/>
              </w:rPr>
            </w:pPr>
            <w:r w:rsidRPr="002C0321">
              <w:t>Assessors and trainers must take into account relevant access and equity issu</w:t>
            </w:r>
            <w:r w:rsidRPr="002C0321">
              <w:t xml:space="preserve">es, in particular relating to factors impacting on Aboriginal and/or Torres Strait Islander clients and communities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Context of and specific resources for assessment</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 xml:space="preserve">This unit can be assessed independently, however holistic assessment practice with </w:t>
            </w:r>
            <w:r w:rsidRPr="002C0321">
              <w:t>other community services units of competency is encouraged</w:t>
            </w:r>
          </w:p>
          <w:p w:rsidR="00000000" w:rsidRPr="002C0321" w:rsidP="002C0321">
            <w:pPr>
              <w:pStyle w:val="BodyText"/>
            </w:pPr>
            <w:r w:rsidRPr="002C0321">
              <w:t xml:space="preserve">Resource requirements for assessment of this unit include access to:   </w:t>
            </w:r>
          </w:p>
          <w:p w:rsidR="00000000" w:rsidP="002C0321">
            <w:pPr>
              <w:pStyle w:val="BodyText"/>
              <w:rPr>
                <w:lang w:val="en-NZ"/>
              </w:rPr>
            </w:pPr>
            <w:r w:rsidRPr="002C0321">
              <w:t xml:space="preserve">a workplace or an accurately simulated environment where assessment may take place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Method of assessment</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In cases where</w:t>
            </w:r>
            <w:r w:rsidRPr="002C0321">
              <w:t xml:space="preserve"> the learner does not have the opportunity to cover all relevant aspects in the work environment, the remainder should be assessed through realistic simulations, projects, previous relevant experience or oral questioning on 'What if?' scenarios</w:t>
            </w:r>
          </w:p>
          <w:p w:rsidR="00000000" w:rsidRPr="002C0321" w:rsidP="002C0321">
            <w:pPr>
              <w:pStyle w:val="BodyText"/>
            </w:pPr>
            <w:r w:rsidRPr="002C0321">
              <w:t xml:space="preserve">Assessment </w:t>
            </w:r>
            <w:r w:rsidRPr="002C0321">
              <w:t>of this unit of competence will usually include observation of processes and procedures, oral and/or written questioning on Essential knowledge and skills and consideration of required attitudes</w:t>
            </w:r>
          </w:p>
          <w:p w:rsidR="00000000" w:rsidP="002C0321">
            <w:pPr>
              <w:pStyle w:val="BodyText"/>
              <w:rPr>
                <w:lang w:val="en-NZ"/>
              </w:rPr>
            </w:pPr>
            <w:r w:rsidRPr="002C0321">
              <w:t>Where performance is not directly observed and/or is required</w:t>
            </w:r>
            <w:r w:rsidRPr="002C0321">
              <w:t xml:space="preserve"> to be demonstrated over a 'period of time' and/or in a 'number of locations', any evidence should be authenticated by colleagues, supervisors, clients or other appropriate persons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p>
        </w:tc>
      </w:tr>
    </w:tbl>
    <w:p w:rsidR="00000000" w:rsidRPr="002C0321" w:rsidP="002C0321">
      <w:pPr>
        <w:pStyle w:val="BodyText"/>
      </w:pPr>
    </w:p>
    <w:p w:rsidR="00000000" w:rsidRPr="002C0321" w:rsidP="002C0321">
      <w:pPr>
        <w:pStyle w:val="AllowPageBreak"/>
      </w:pPr>
    </w:p>
    <w:p w:rsidR="00000000" w:rsidRPr="002C0321" w:rsidP="002C0321">
      <w:pPr>
        <w:pStyle w:val="Heading1"/>
      </w:pPr>
      <w:bookmarkStart w:id="11" w:name="O_313068"/>
      <w:bookmarkEnd w:id="11"/>
      <w:r w:rsidRPr="002C0321">
        <w:t>Range Statement</w:t>
      </w:r>
    </w:p>
    <w:tbl>
      <w:tblPr>
        <w:tblW w:w="0" w:type="auto"/>
        <w:tblLayout w:type="fixed"/>
        <w:tblCellMar>
          <w:left w:w="62" w:type="dxa"/>
          <w:right w:w="62" w:type="dxa"/>
        </w:tblCellMar>
        <w:tblLook w:val="0000"/>
      </w:tblPr>
      <w:tblGrid>
        <w:gridCol w:w="4500"/>
        <w:gridCol w:w="4500"/>
      </w:tblGrid>
      <w:tr w:rsidTr="00A959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RANGE STATEMENT</w:t>
            </w:r>
          </w:p>
        </w:tc>
      </w:tr>
      <w:tr w:rsidTr="00A959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t>The Range Statement relates to the unit of competency as a whole. It allows for different work environments and situations that may affect performance. Add any essential operating conditions that may be present with training and assessment depending on the</w:t>
            </w:r>
            <w:r w:rsidRPr="002C0321">
              <w:t xml:space="preserve"> work situation, needs of the candidate, accessibility of the item, and local industry and regional contexts.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Historical</w:t>
            </w:r>
            <w:r w:rsidRPr="002C0321">
              <w:t xml:space="preserve">, </w:t>
            </w:r>
            <w:r w:rsidRPr="002C0321">
              <w:rPr>
                <w:rStyle w:val="SpecialBold"/>
              </w:rPr>
              <w:t>social</w:t>
            </w:r>
            <w:r w:rsidRPr="002C0321">
              <w:t xml:space="preserve">, </w:t>
            </w:r>
            <w:r w:rsidRPr="002C0321">
              <w:rPr>
                <w:rStyle w:val="SpecialBold"/>
              </w:rPr>
              <w:t>political economic context includes</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Statutory framework within which work takes place in the sector</w:t>
            </w:r>
          </w:p>
          <w:p w:rsidR="00000000" w:rsidRPr="002C0321" w:rsidP="002C0321">
            <w:pPr>
              <w:pStyle w:val="BodyText"/>
            </w:pPr>
            <w:r w:rsidRPr="002C0321">
              <w:t>Historical context of work e.g. changing attitudes to young people; changing approaches to working with young people</w:t>
            </w:r>
          </w:p>
          <w:p w:rsidR="00000000" w:rsidRPr="002C0321" w:rsidP="002C0321">
            <w:pPr>
              <w:pStyle w:val="BodyText"/>
            </w:pPr>
            <w:r w:rsidRPr="002C0321">
              <w:t>Changing social context of work: e.g. changing government and societal views of young people and approaches to working with them</w:t>
            </w:r>
          </w:p>
          <w:p w:rsidR="00000000" w:rsidRPr="002C0321" w:rsidP="002C0321">
            <w:pPr>
              <w:pStyle w:val="BodyText"/>
            </w:pPr>
            <w:r w:rsidRPr="002C0321">
              <w:t xml:space="preserve">Political </w:t>
            </w:r>
            <w:r w:rsidRPr="002C0321">
              <w:t>context e.g. Government policies and initiatives affecting youth work</w:t>
            </w:r>
          </w:p>
          <w:p w:rsidR="00000000" w:rsidP="002C0321">
            <w:pPr>
              <w:pStyle w:val="BodyText"/>
              <w:rPr>
                <w:lang w:val="en-NZ"/>
              </w:rPr>
            </w:pPr>
            <w:r w:rsidRPr="002C0321">
              <w:t xml:space="preserve">Economic context e.g. The current economic situation as it relates to and affects young people and the subsequent impact on client needs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Stakeholders and representatives may include</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Young people</w:t>
            </w:r>
          </w:p>
          <w:p w:rsidR="00000000" w:rsidRPr="002C0321" w:rsidP="002C0321">
            <w:pPr>
              <w:pStyle w:val="BodyText"/>
            </w:pPr>
            <w:r w:rsidRPr="002C0321">
              <w:t>Friends, peers and target groups</w:t>
            </w:r>
          </w:p>
          <w:p w:rsidR="00000000" w:rsidRPr="002C0321" w:rsidP="002C0321">
            <w:pPr>
              <w:pStyle w:val="BodyText"/>
            </w:pPr>
            <w:r w:rsidRPr="002C0321">
              <w:t>Families and care givers</w:t>
            </w:r>
          </w:p>
          <w:p w:rsidR="00000000" w:rsidRPr="002C0321" w:rsidP="002C0321">
            <w:pPr>
              <w:pStyle w:val="BodyText"/>
            </w:pPr>
            <w:r w:rsidRPr="002C0321">
              <w:t>Local community and community and religious organisations</w:t>
            </w:r>
          </w:p>
          <w:p w:rsidR="00000000" w:rsidRPr="002C0321" w:rsidP="002C0321">
            <w:pPr>
              <w:pStyle w:val="BodyText"/>
            </w:pPr>
            <w:r w:rsidRPr="002C0321">
              <w:t>Government representatives and service providers</w:t>
            </w:r>
          </w:p>
          <w:p w:rsidR="00000000" w:rsidRPr="002C0321" w:rsidP="002C0321">
            <w:pPr>
              <w:pStyle w:val="BodyText"/>
            </w:pPr>
            <w:r w:rsidRPr="002C0321">
              <w:t>Youth organisations</w:t>
            </w:r>
          </w:p>
          <w:p w:rsidR="00000000" w:rsidRPr="002C0321" w:rsidP="002C0321">
            <w:pPr>
              <w:pStyle w:val="BodyText"/>
            </w:pPr>
            <w:r w:rsidRPr="002C0321">
              <w:t>Specialists/experts</w:t>
            </w:r>
          </w:p>
          <w:p w:rsidR="00000000" w:rsidRPr="002C0321" w:rsidP="002C0321">
            <w:pPr>
              <w:pStyle w:val="BodyText"/>
            </w:pPr>
            <w:r w:rsidRPr="002C0321">
              <w:t>Peak bodies and networks in youth w</w:t>
            </w:r>
            <w:r w:rsidRPr="002C0321">
              <w:t>ork</w:t>
            </w:r>
          </w:p>
          <w:p w:rsidR="00000000" w:rsidP="002C0321">
            <w:pPr>
              <w:pStyle w:val="BodyText"/>
              <w:rPr>
                <w:lang w:val="en-NZ"/>
              </w:rPr>
            </w:pPr>
            <w:r w:rsidRPr="002C0321">
              <w:t xml:space="preserve">Organisation management, colleagues, supervisor, team members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Different models of work in the sector may include</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Community development and education</w:t>
            </w:r>
          </w:p>
          <w:p w:rsidR="00000000" w:rsidRPr="002C0321" w:rsidP="002C0321">
            <w:pPr>
              <w:pStyle w:val="BodyText"/>
            </w:pPr>
            <w:r w:rsidRPr="002C0321">
              <w:t>Case management</w:t>
            </w:r>
          </w:p>
          <w:p w:rsidR="00000000" w:rsidRPr="002C0321" w:rsidP="002C0321">
            <w:pPr>
              <w:pStyle w:val="BodyText"/>
            </w:pPr>
            <w:r w:rsidRPr="002C0321">
              <w:t>Working with families</w:t>
            </w:r>
          </w:p>
          <w:p w:rsidR="00000000" w:rsidP="002C0321">
            <w:pPr>
              <w:pStyle w:val="BodyText"/>
              <w:rPr>
                <w:lang w:val="en-NZ"/>
              </w:rPr>
            </w:pPr>
            <w:r w:rsidRPr="002C0321">
              <w:t xml:space="preserve">A client-centred approach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0321">
            <w:pPr>
              <w:pStyle w:val="BodyText"/>
              <w:rPr>
                <w:lang w:val="en-NZ"/>
              </w:rPr>
            </w:pPr>
            <w:r w:rsidRPr="002C0321">
              <w:rPr>
                <w:rStyle w:val="SpecialBold"/>
              </w:rPr>
              <w:t>A commitment to access and equity may be demonstrated by</w:t>
            </w:r>
            <w:r w:rsidRPr="002C0321">
              <w:t xml:space="preserve">: </w:t>
            </w: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r w:rsidRPr="002C0321">
              <w:t>A non-discriminatory approach to all people using the service, their family and friends, the general public and co-workers</w:t>
            </w:r>
          </w:p>
          <w:p w:rsidR="00000000" w:rsidP="002C0321">
            <w:pPr>
              <w:pStyle w:val="BodyText"/>
              <w:rPr>
                <w:lang w:val="en-NZ"/>
              </w:rPr>
            </w:pPr>
            <w:r w:rsidRPr="002C0321">
              <w:t xml:space="preserve">Ensuring the work undertaken takes account of, and caters for differences </w:t>
            </w:r>
            <w:r w:rsidRPr="002C0321">
              <w:t xml:space="preserve">including: cultural,  physical, developmental, religious, economic and social </w:t>
            </w:r>
          </w:p>
        </w:tc>
      </w:tr>
      <w:tr w:rsidTr="00A959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C0321" w:rsidP="002C0321">
            <w:pPr>
              <w:pStyle w:val="BodyText"/>
            </w:pPr>
          </w:p>
        </w:tc>
      </w:tr>
    </w:tbl>
    <w:p w:rsidR="00000000" w:rsidRPr="002C0321" w:rsidP="002C0321">
      <w:pPr>
        <w:pStyle w:val="BodyText"/>
      </w:pPr>
    </w:p>
    <w:p w:rsidR="00000000" w:rsidRPr="002C0321" w:rsidP="002C0321">
      <w:pPr>
        <w:pStyle w:val="AllowPageBreak"/>
      </w:pPr>
    </w:p>
    <w:p w:rsidR="00000000" w:rsidRPr="002C0321" w:rsidP="002C0321">
      <w:pPr>
        <w:pStyle w:val="Heading1"/>
      </w:pPr>
      <w:bookmarkStart w:id="12" w:name="O_313067"/>
      <w:bookmarkEnd w:id="12"/>
      <w:r w:rsidRPr="002C0321">
        <w:t>Unit Sector(s)</w:t>
      </w:r>
    </w:p>
    <w:p w:rsidR="00000000" w:rsidRPr="002C0321" w:rsidP="002C0321"/>
    <w:sectPr w:rsidSect="002C0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90B" w:rsidP="00A959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0B" w:rsidP="002C0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590B" w:rsidP="002C03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9590B" w:rsidP="002C03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90B" w:rsidP="00A959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0B" w:rsidP="002C0321">
    <w:pPr>
      <w:pStyle w:val="Header"/>
      <w:framePr w:wrap="around"/>
    </w:pPr>
    <w:r>
      <w:fldChar w:fldCharType="begin"/>
    </w:r>
    <w:r>
      <w:instrText xml:space="preserve"> TITLE   \* MERGEFORMAT </w:instrText>
    </w:r>
    <w:r>
      <w:fldChar w:fldCharType="separate"/>
    </w:r>
    <w:r>
      <w:t>CHCYTH301D Work effectively with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590B" w:rsidP="002C03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3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321"/>
    <w:pPr>
      <w:spacing w:before="360" w:after="60"/>
      <w:outlineLvl w:val="0"/>
    </w:pPr>
    <w:rPr>
      <w:sz w:val="32"/>
    </w:rPr>
  </w:style>
  <w:style w:type="paragraph" w:styleId="Heading2">
    <w:name w:val="heading 2"/>
    <w:basedOn w:val="HeadingBase"/>
    <w:next w:val="BodyText"/>
    <w:link w:val="Heading2Char"/>
    <w:qFormat/>
    <w:rsid w:val="002C0321"/>
    <w:pPr>
      <w:keepLines/>
      <w:spacing w:before="240" w:after="120"/>
      <w:outlineLvl w:val="1"/>
    </w:pPr>
    <w:rPr>
      <w:sz w:val="28"/>
      <w:szCs w:val="40"/>
    </w:rPr>
  </w:style>
  <w:style w:type="paragraph" w:styleId="Heading3">
    <w:name w:val="heading 3"/>
    <w:basedOn w:val="HeadingBase"/>
    <w:next w:val="BodyText"/>
    <w:link w:val="Heading3Char"/>
    <w:qFormat/>
    <w:rsid w:val="002C0321"/>
    <w:pPr>
      <w:spacing w:before="180" w:after="120"/>
      <w:outlineLvl w:val="2"/>
    </w:pPr>
    <w:rPr>
      <w:spacing w:val="-10"/>
      <w:kern w:val="32"/>
    </w:rPr>
  </w:style>
  <w:style w:type="paragraph" w:styleId="Heading4">
    <w:name w:val="heading 4"/>
    <w:basedOn w:val="HeadingBase"/>
    <w:next w:val="BodyText"/>
    <w:link w:val="Heading4Char"/>
    <w:qFormat/>
    <w:rsid w:val="002C0321"/>
    <w:pPr>
      <w:spacing w:before="160" w:after="120"/>
      <w:outlineLvl w:val="3"/>
    </w:pPr>
    <w:rPr>
      <w:sz w:val="22"/>
    </w:rPr>
  </w:style>
  <w:style w:type="paragraph" w:styleId="Heading5">
    <w:name w:val="heading 5"/>
    <w:basedOn w:val="HeadingBase"/>
    <w:next w:val="Normal"/>
    <w:link w:val="Heading5Char"/>
    <w:qFormat/>
    <w:rsid w:val="002C0321"/>
    <w:pPr>
      <w:spacing w:before="80"/>
      <w:outlineLvl w:val="4"/>
    </w:pPr>
    <w:rPr>
      <w:color w:val="918585"/>
      <w:sz w:val="20"/>
    </w:rPr>
  </w:style>
  <w:style w:type="paragraph" w:styleId="Heading6">
    <w:name w:val="heading 6"/>
    <w:basedOn w:val="HeadingBase"/>
    <w:next w:val="Normal"/>
    <w:link w:val="Heading6Char"/>
    <w:qFormat/>
    <w:rsid w:val="002C0321"/>
    <w:pPr>
      <w:spacing w:before="60"/>
      <w:outlineLvl w:val="5"/>
    </w:pPr>
    <w:rPr>
      <w:color w:val="918585"/>
      <w:sz w:val="20"/>
    </w:rPr>
  </w:style>
  <w:style w:type="paragraph" w:styleId="Heading7">
    <w:name w:val="heading 7"/>
    <w:basedOn w:val="Normal"/>
    <w:next w:val="Normal"/>
    <w:link w:val="Heading7Char"/>
    <w:qFormat/>
    <w:rsid w:val="002C0321"/>
    <w:pPr>
      <w:ind w:left="720"/>
      <w:outlineLvl w:val="6"/>
    </w:pPr>
    <w:rPr>
      <w:i/>
    </w:rPr>
  </w:style>
  <w:style w:type="paragraph" w:styleId="Heading8">
    <w:name w:val="heading 8"/>
    <w:basedOn w:val="Normal"/>
    <w:next w:val="Normal"/>
    <w:link w:val="Heading8Char"/>
    <w:qFormat/>
    <w:rsid w:val="002C0321"/>
    <w:pPr>
      <w:ind w:left="720"/>
      <w:outlineLvl w:val="7"/>
    </w:pPr>
    <w:rPr>
      <w:i/>
    </w:rPr>
  </w:style>
  <w:style w:type="paragraph" w:styleId="Heading9">
    <w:name w:val="heading 9"/>
    <w:basedOn w:val="Normal"/>
    <w:next w:val="Normal"/>
    <w:link w:val="Heading9Char"/>
    <w:qFormat/>
    <w:rsid w:val="002C0321"/>
    <w:pPr>
      <w:ind w:left="720"/>
      <w:outlineLvl w:val="8"/>
    </w:pPr>
    <w:rPr>
      <w:i/>
    </w:rPr>
  </w:style>
  <w:style w:type="character" w:default="1" w:styleId="DefaultParagraphFont">
    <w:name w:val="Default Paragraph Font"/>
    <w:uiPriority w:val="1"/>
    <w:unhideWhenUsed/>
    <w:rsid w:val="002C0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321"/>
  </w:style>
  <w:style w:type="character" w:customStyle="1" w:styleId="Heading1Char">
    <w:name w:val="Heading 1 Char"/>
    <w:link w:val="Heading1"/>
    <w:rsid w:val="002C0321"/>
    <w:rPr>
      <w:rFonts w:ascii="Times New Roman" w:eastAsia="Times New Roman" w:hAnsi="Times New Roman" w:cs="Times New Roman"/>
      <w:b/>
      <w:sz w:val="32"/>
      <w:szCs w:val="20"/>
      <w:lang w:eastAsia="en-US"/>
    </w:rPr>
  </w:style>
  <w:style w:type="paragraph" w:styleId="BodyText">
    <w:name w:val="Body Text"/>
    <w:basedOn w:val="Normal"/>
    <w:link w:val="BodyTextChar"/>
    <w:rsid w:val="002C0321"/>
    <w:pPr>
      <w:spacing w:before="120" w:after="120"/>
      <w:contextualSpacing/>
    </w:pPr>
    <w:rPr>
      <w:rFonts w:ascii="Times New Roman" w:hAnsi="Times New Roman"/>
      <w:sz w:val="24"/>
      <w:szCs w:val="22"/>
    </w:rPr>
  </w:style>
  <w:style w:type="character" w:customStyle="1" w:styleId="BodyTextChar">
    <w:name w:val="Body Text Char"/>
    <w:link w:val="BodyText"/>
    <w:rsid w:val="002C0321"/>
    <w:rPr>
      <w:rFonts w:ascii="Times New Roman" w:eastAsia="Times New Roman" w:hAnsi="Times New Roman" w:cs="Times New Roman"/>
      <w:sz w:val="24"/>
      <w:lang w:val="en-US" w:eastAsia="en-US"/>
    </w:rPr>
  </w:style>
  <w:style w:type="paragraph" w:styleId="Footer">
    <w:name w:val="footer"/>
    <w:basedOn w:val="Normal"/>
    <w:link w:val="FooterChar"/>
    <w:rsid w:val="002C0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0321"/>
    <w:rPr>
      <w:rFonts w:ascii="Times New Roman" w:eastAsia="Times New Roman" w:hAnsi="Times New Roman" w:cs="Times New Roman"/>
      <w:sz w:val="16"/>
      <w:lang w:val="en-US" w:eastAsia="en-US"/>
    </w:rPr>
  </w:style>
  <w:style w:type="character" w:customStyle="1" w:styleId="SpecialBold">
    <w:name w:val="Special Bold"/>
    <w:rsid w:val="002C0321"/>
    <w:rPr>
      <w:b/>
      <w:spacing w:val="0"/>
    </w:rPr>
  </w:style>
  <w:style w:type="paragraph" w:styleId="Header">
    <w:name w:val="header"/>
    <w:basedOn w:val="Normal"/>
    <w:link w:val="HeaderChar"/>
    <w:rsid w:val="002C0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03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321"/>
    <w:pPr>
      <w:spacing w:before="240" w:after="120"/>
      <w:outlineLvl w:val="0"/>
    </w:pPr>
    <w:rPr>
      <w:rFonts w:ascii="Times New Roman" w:hAnsi="Times New Roman"/>
      <w:b/>
      <w:sz w:val="28"/>
    </w:rPr>
  </w:style>
  <w:style w:type="paragraph" w:customStyle="1" w:styleId="AllowPageBreak">
    <w:name w:val="AllowPageBreak"/>
    <w:rsid w:val="002C0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C0321"/>
    <w:rPr>
      <w:rFonts w:ascii="Times New Roman" w:eastAsia="Times New Roman" w:hAnsi="Times New Roman" w:cs="Times New Roman"/>
      <w:b/>
      <w:sz w:val="28"/>
      <w:szCs w:val="40"/>
      <w:lang w:eastAsia="en-US"/>
    </w:rPr>
  </w:style>
  <w:style w:type="character" w:customStyle="1" w:styleId="Heading3Char">
    <w:name w:val="Heading 3 Char"/>
    <w:link w:val="Heading3"/>
    <w:rsid w:val="002C03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0321"/>
    <w:rPr>
      <w:rFonts w:ascii="Times New Roman" w:eastAsia="Times New Roman" w:hAnsi="Times New Roman" w:cs="Times New Roman"/>
      <w:b/>
      <w:szCs w:val="20"/>
      <w:lang w:eastAsia="en-US"/>
    </w:rPr>
  </w:style>
  <w:style w:type="character" w:customStyle="1" w:styleId="Heading5Char">
    <w:name w:val="Heading 5 Char"/>
    <w:link w:val="Heading5"/>
    <w:rsid w:val="002C03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0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3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3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321"/>
    <w:rPr>
      <w:rFonts w:ascii="Courier New" w:eastAsia="Times New Roman" w:hAnsi="Courier New" w:cs="Times New Roman"/>
      <w:i/>
      <w:szCs w:val="20"/>
      <w:lang w:val="en-US" w:eastAsia="en-US"/>
    </w:rPr>
  </w:style>
  <w:style w:type="paragraph" w:customStyle="1" w:styleId="HeadingBase">
    <w:name w:val="Heading Base"/>
    <w:rsid w:val="002C0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321"/>
    <w:pPr>
      <w:tabs>
        <w:tab w:val="right" w:leader="dot" w:pos="9072"/>
      </w:tabs>
      <w:ind w:left="567"/>
    </w:pPr>
    <w:rPr>
      <w:szCs w:val="22"/>
    </w:rPr>
  </w:style>
  <w:style w:type="paragraph" w:customStyle="1" w:styleId="TOCBase">
    <w:name w:val="TOC Base"/>
    <w:rsid w:val="002C0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321"/>
    <w:pPr>
      <w:tabs>
        <w:tab w:val="right" w:leader="dot" w:pos="9072"/>
      </w:tabs>
      <w:spacing w:before="40" w:after="40"/>
      <w:ind w:left="284"/>
    </w:pPr>
    <w:rPr>
      <w:rFonts w:ascii="Times New Roman" w:hAnsi="Times New Roman"/>
    </w:rPr>
  </w:style>
  <w:style w:type="paragraph" w:styleId="TOC1">
    <w:name w:val="toc 1"/>
    <w:basedOn w:val="TOCBase"/>
    <w:next w:val="Normal"/>
    <w:rsid w:val="002C03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321"/>
    <w:pPr>
      <w:spacing w:before="5040"/>
      <w:jc w:val="center"/>
    </w:pPr>
    <w:rPr>
      <w:sz w:val="48"/>
      <w:szCs w:val="72"/>
      <w:lang w:val="en-US"/>
    </w:rPr>
  </w:style>
  <w:style w:type="character" w:customStyle="1" w:styleId="TitleChar">
    <w:name w:val="Title Char"/>
    <w:link w:val="Title"/>
    <w:rsid w:val="002C0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321"/>
    <w:pPr>
      <w:tabs>
        <w:tab w:val="left" w:pos="3600"/>
        <w:tab w:val="left" w:pos="3958"/>
      </w:tabs>
    </w:pPr>
  </w:style>
  <w:style w:type="paragraph" w:styleId="List">
    <w:name w:val="List"/>
    <w:basedOn w:val="BodyText"/>
    <w:next w:val="BodyText"/>
    <w:rsid w:val="002C0321"/>
    <w:pPr>
      <w:tabs>
        <w:tab w:val="left" w:pos="340"/>
      </w:tabs>
      <w:spacing w:before="60" w:after="60"/>
      <w:ind w:left="340" w:hanging="340"/>
    </w:pPr>
  </w:style>
  <w:style w:type="paragraph" w:styleId="ListBullet">
    <w:name w:val="List Bullet"/>
    <w:basedOn w:val="List"/>
    <w:rsid w:val="002C0321"/>
    <w:pPr>
      <w:numPr>
        <w:numId w:val="11"/>
      </w:numPr>
      <w:tabs>
        <w:tab w:val="clear" w:pos="340"/>
      </w:tabs>
      <w:spacing w:before="40" w:after="40"/>
    </w:pPr>
  </w:style>
  <w:style w:type="paragraph" w:customStyle="1" w:styleId="Note">
    <w:name w:val="Note"/>
    <w:basedOn w:val="BodyText"/>
    <w:rsid w:val="002C0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321"/>
    <w:pPr>
      <w:framePr w:wrap="auto" w:hAnchor="text" w:y="6049"/>
    </w:pPr>
    <w:rPr>
      <w:color w:val="000000"/>
      <w:sz w:val="40"/>
    </w:rPr>
  </w:style>
  <w:style w:type="paragraph" w:customStyle="1" w:styleId="TOCTitle">
    <w:name w:val="TOCTitle"/>
    <w:basedOn w:val="Heading1"/>
    <w:rsid w:val="002C0321"/>
    <w:pPr>
      <w:spacing w:after="240"/>
      <w:jc w:val="center"/>
      <w:outlineLvl w:val="9"/>
    </w:pPr>
    <w:rPr>
      <w:caps/>
    </w:rPr>
  </w:style>
  <w:style w:type="paragraph" w:customStyle="1" w:styleId="Version">
    <w:name w:val="Version"/>
    <w:rsid w:val="002C03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321"/>
    <w:pPr>
      <w:numPr>
        <w:numId w:val="12"/>
      </w:numPr>
      <w:tabs>
        <w:tab w:val="clear" w:pos="680"/>
      </w:tabs>
    </w:pPr>
  </w:style>
  <w:style w:type="paragraph" w:styleId="Index1">
    <w:name w:val="index 1"/>
    <w:basedOn w:val="Normal"/>
    <w:next w:val="Normal"/>
    <w:semiHidden/>
    <w:rsid w:val="002C0321"/>
    <w:pPr>
      <w:keepNext w:val="0"/>
      <w:tabs>
        <w:tab w:val="right" w:pos="4176"/>
      </w:tabs>
      <w:ind w:left="198" w:hanging="198"/>
    </w:pPr>
    <w:rPr>
      <w:rFonts w:ascii="Garamond" w:hAnsi="Garamond"/>
    </w:rPr>
  </w:style>
  <w:style w:type="paragraph" w:styleId="IndexHeading">
    <w:name w:val="index heading"/>
    <w:basedOn w:val="Normal"/>
    <w:next w:val="Index1"/>
    <w:semiHidden/>
    <w:rsid w:val="002C0321"/>
    <w:pPr>
      <w:spacing w:before="120" w:after="120"/>
    </w:pPr>
    <w:rPr>
      <w:rFonts w:ascii="Arial" w:hAnsi="Arial"/>
      <w:b/>
      <w:color w:val="918585"/>
      <w:sz w:val="24"/>
    </w:rPr>
  </w:style>
  <w:style w:type="paragraph" w:customStyle="1" w:styleId="Chapter">
    <w:name w:val="Chapter"/>
    <w:basedOn w:val="Normal"/>
    <w:rsid w:val="002C0321"/>
    <w:pPr>
      <w:spacing w:before="240"/>
    </w:pPr>
    <w:rPr>
      <w:rFonts w:ascii="Times New Roman" w:hAnsi="Times New Roman"/>
      <w:smallCaps/>
      <w:spacing w:val="80"/>
      <w:sz w:val="28"/>
    </w:rPr>
  </w:style>
  <w:style w:type="paragraph" w:customStyle="1" w:styleId="InChapter">
    <w:name w:val="InChapter"/>
    <w:basedOn w:val="Heading3"/>
    <w:rsid w:val="002C0321"/>
    <w:pPr>
      <w:spacing w:after="240"/>
      <w:outlineLvl w:val="9"/>
    </w:pPr>
    <w:rPr>
      <w:noProof/>
    </w:rPr>
  </w:style>
  <w:style w:type="paragraph" w:styleId="Index2">
    <w:name w:val="index 2"/>
    <w:basedOn w:val="Normal"/>
    <w:next w:val="Normal"/>
    <w:semiHidden/>
    <w:rsid w:val="002C0321"/>
    <w:pPr>
      <w:tabs>
        <w:tab w:val="right" w:pos="4176"/>
      </w:tabs>
      <w:ind w:left="568" w:hanging="284"/>
    </w:pPr>
    <w:rPr>
      <w:rFonts w:ascii="Garamond" w:hAnsi="Garamond"/>
    </w:rPr>
  </w:style>
  <w:style w:type="paragraph" w:customStyle="1" w:styleId="Byline">
    <w:name w:val="Byline"/>
    <w:rsid w:val="002C0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321"/>
    <w:pPr>
      <w:tabs>
        <w:tab w:val="clear" w:pos="3600"/>
        <w:tab w:val="clear" w:pos="3958"/>
      </w:tabs>
      <w:jc w:val="right"/>
    </w:pPr>
  </w:style>
  <w:style w:type="character" w:styleId="Emphasis">
    <w:name w:val="Emphasis"/>
    <w:qFormat/>
    <w:rsid w:val="002C0321"/>
    <w:rPr>
      <w:i/>
    </w:rPr>
  </w:style>
  <w:style w:type="paragraph" w:styleId="Caption">
    <w:name w:val="caption"/>
    <w:basedOn w:val="BodyText"/>
    <w:next w:val="Normal"/>
    <w:qFormat/>
    <w:rsid w:val="002C0321"/>
    <w:pPr>
      <w:framePr w:w="2268" w:hSpace="181" w:vSpace="181" w:wrap="around" w:vAnchor="text" w:hAnchor="page" w:x="1135" w:y="285" w:anchorLock="1"/>
    </w:pPr>
    <w:rPr>
      <w:i/>
    </w:rPr>
  </w:style>
  <w:style w:type="paragraph" w:customStyle="1" w:styleId="MiniTOCTitle">
    <w:name w:val="MiniTOCTitle"/>
    <w:basedOn w:val="Heading4"/>
    <w:rsid w:val="002C0321"/>
    <w:pPr>
      <w:spacing w:before="240"/>
      <w:outlineLvl w:val="9"/>
    </w:pPr>
    <w:rPr>
      <w:noProof/>
      <w:sz w:val="24"/>
    </w:rPr>
  </w:style>
  <w:style w:type="paragraph" w:customStyle="1" w:styleId="MiniTOCItem">
    <w:name w:val="MiniTOCItem"/>
    <w:basedOn w:val="ListBullet"/>
    <w:rsid w:val="002C0321"/>
    <w:pPr>
      <w:numPr>
        <w:numId w:val="0"/>
      </w:numPr>
      <w:tabs>
        <w:tab w:val="right" w:leader="dot" w:pos="6521"/>
      </w:tabs>
      <w:spacing w:before="0" w:after="0"/>
    </w:pPr>
  </w:style>
  <w:style w:type="paragraph" w:customStyle="1" w:styleId="TOFTitle">
    <w:name w:val="TOFTitle"/>
    <w:basedOn w:val="TOCTitle"/>
    <w:rsid w:val="002C0321"/>
  </w:style>
  <w:style w:type="paragraph" w:styleId="TableofFigures">
    <w:name w:val="table of figures"/>
    <w:basedOn w:val="Normal"/>
    <w:next w:val="Normal"/>
    <w:semiHidden/>
    <w:rsid w:val="002C0321"/>
    <w:pPr>
      <w:tabs>
        <w:tab w:val="right" w:leader="dot" w:pos="9072"/>
      </w:tabs>
      <w:ind w:left="970" w:hanging="403"/>
    </w:pPr>
    <w:rPr>
      <w:rFonts w:ascii="Times New Roman" w:hAnsi="Times New Roman"/>
      <w:b/>
    </w:rPr>
  </w:style>
  <w:style w:type="paragraph" w:styleId="ListNumber">
    <w:name w:val="List Number"/>
    <w:basedOn w:val="List"/>
    <w:rsid w:val="002C0321"/>
    <w:pPr>
      <w:numPr>
        <w:numId w:val="9"/>
      </w:numPr>
    </w:pPr>
  </w:style>
  <w:style w:type="character" w:customStyle="1" w:styleId="WingdingSymbols">
    <w:name w:val="Wingding Symbols"/>
    <w:rsid w:val="002C0321"/>
    <w:rPr>
      <w:rFonts w:ascii="Wingdings" w:hAnsi="Wingdings"/>
    </w:rPr>
  </w:style>
  <w:style w:type="paragraph" w:customStyle="1" w:styleId="TableHeading">
    <w:name w:val="Table Heading"/>
    <w:basedOn w:val="HeadingBase"/>
    <w:rsid w:val="002C0321"/>
    <w:pPr>
      <w:keepLines/>
      <w:pBdr>
        <w:bottom w:val="single" w:sz="6" w:space="1" w:color="918585"/>
      </w:pBdr>
      <w:spacing w:before="240"/>
    </w:pPr>
  </w:style>
  <w:style w:type="character" w:customStyle="1" w:styleId="HotSpot">
    <w:name w:val="HotSpot"/>
    <w:rsid w:val="002C0321"/>
    <w:rPr>
      <w:color w:val="0033CC"/>
      <w:u w:val="none"/>
    </w:rPr>
  </w:style>
  <w:style w:type="paragraph" w:customStyle="1" w:styleId="BodyTextRight">
    <w:name w:val="Body Text Right"/>
    <w:basedOn w:val="BodyText"/>
    <w:rsid w:val="002C0321"/>
    <w:pPr>
      <w:spacing w:before="0" w:after="0"/>
      <w:jc w:val="right"/>
    </w:pPr>
  </w:style>
  <w:style w:type="paragraph" w:styleId="Index3">
    <w:name w:val="index 3"/>
    <w:basedOn w:val="ListNumber2"/>
    <w:next w:val="Normal"/>
    <w:semiHidden/>
    <w:rsid w:val="002C0321"/>
    <w:pPr>
      <w:numPr>
        <w:numId w:val="0"/>
      </w:numPr>
      <w:tabs>
        <w:tab w:val="right" w:leader="dot" w:pos="4176"/>
      </w:tabs>
    </w:pPr>
  </w:style>
  <w:style w:type="paragraph" w:styleId="ListNumber2">
    <w:name w:val="List Number 2"/>
    <w:basedOn w:val="List2"/>
    <w:rsid w:val="002C0321"/>
    <w:pPr>
      <w:numPr>
        <w:numId w:val="8"/>
      </w:numPr>
      <w:tabs>
        <w:tab w:val="clear" w:pos="1060"/>
      </w:tabs>
    </w:pPr>
  </w:style>
  <w:style w:type="paragraph" w:customStyle="1" w:styleId="MarginNote">
    <w:name w:val="Margin Note"/>
    <w:basedOn w:val="BodyText"/>
    <w:rsid w:val="002C0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03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321"/>
    <w:rPr>
      <w:sz w:val="32"/>
    </w:rPr>
  </w:style>
  <w:style w:type="paragraph" w:customStyle="1" w:styleId="HeadingProcedure">
    <w:name w:val="Heading Procedure"/>
    <w:basedOn w:val="HeadingBase"/>
    <w:next w:val="Normal"/>
    <w:rsid w:val="002C0321"/>
    <w:pPr>
      <w:tabs>
        <w:tab w:val="left" w:pos="0"/>
      </w:tabs>
      <w:spacing w:before="120" w:after="60"/>
    </w:pPr>
    <w:rPr>
      <w:i/>
      <w:color w:val="918585"/>
      <w:sz w:val="22"/>
    </w:rPr>
  </w:style>
  <w:style w:type="paragraph" w:customStyle="1" w:styleId="TableBodyText">
    <w:name w:val="Table Body Text"/>
    <w:basedOn w:val="BodyText"/>
    <w:rsid w:val="002C0321"/>
    <w:pPr>
      <w:spacing w:before="60" w:after="60"/>
    </w:pPr>
  </w:style>
  <w:style w:type="paragraph" w:styleId="ListContinue">
    <w:name w:val="List Continue"/>
    <w:basedOn w:val="List"/>
    <w:rsid w:val="002C0321"/>
    <w:pPr>
      <w:ind w:firstLine="0"/>
    </w:pPr>
  </w:style>
  <w:style w:type="paragraph" w:customStyle="1" w:styleId="ListNote">
    <w:name w:val="List Note"/>
    <w:basedOn w:val="List"/>
    <w:rsid w:val="002C0321"/>
    <w:pPr>
      <w:pBdr>
        <w:top w:val="single" w:sz="6" w:space="2" w:color="918585"/>
        <w:bottom w:val="single" w:sz="6" w:space="2" w:color="918585"/>
      </w:pBdr>
      <w:tabs>
        <w:tab w:val="left" w:pos="1021"/>
      </w:tabs>
      <w:ind w:firstLine="0"/>
    </w:pPr>
  </w:style>
  <w:style w:type="paragraph" w:customStyle="1" w:styleId="Warning">
    <w:name w:val="Warning"/>
    <w:basedOn w:val="BodyText"/>
    <w:rsid w:val="002C0321"/>
    <w:pPr>
      <w:shd w:val="clear" w:color="auto" w:fill="D9D9D9"/>
      <w:tabs>
        <w:tab w:val="left" w:pos="992"/>
      </w:tabs>
      <w:ind w:left="119" w:right="119"/>
    </w:pPr>
    <w:rPr>
      <w:sz w:val="20"/>
    </w:rPr>
  </w:style>
  <w:style w:type="paragraph" w:customStyle="1" w:styleId="MarginIcons">
    <w:name w:val="Margin Icons"/>
    <w:basedOn w:val="BodyText"/>
    <w:rsid w:val="002C03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0321"/>
    <w:rPr>
      <w:rFonts w:ascii="Courier New" w:hAnsi="Courier New"/>
    </w:rPr>
  </w:style>
  <w:style w:type="paragraph" w:customStyle="1" w:styleId="NoteBullet">
    <w:name w:val="Note Bullet"/>
    <w:basedOn w:val="Note"/>
    <w:rsid w:val="002C0321"/>
    <w:pPr>
      <w:tabs>
        <w:tab w:val="clear" w:pos="680"/>
      </w:tabs>
      <w:spacing w:before="60" w:after="60"/>
    </w:pPr>
  </w:style>
  <w:style w:type="paragraph" w:customStyle="1" w:styleId="SubHeading2">
    <w:name w:val="SubHeading2"/>
    <w:basedOn w:val="HeadingBase"/>
    <w:rsid w:val="002C0321"/>
    <w:pPr>
      <w:spacing w:before="240" w:after="60"/>
    </w:pPr>
    <w:rPr>
      <w:sz w:val="20"/>
    </w:rPr>
  </w:style>
  <w:style w:type="paragraph" w:customStyle="1" w:styleId="SubHeading1">
    <w:name w:val="SubHeading1"/>
    <w:basedOn w:val="HeadingBase"/>
    <w:rsid w:val="002C0321"/>
    <w:pPr>
      <w:spacing w:before="240" w:after="60"/>
    </w:pPr>
    <w:rPr>
      <w:color w:val="918585"/>
      <w:sz w:val="22"/>
    </w:rPr>
  </w:style>
  <w:style w:type="paragraph" w:customStyle="1" w:styleId="SideHeading">
    <w:name w:val="Side Heading"/>
    <w:basedOn w:val="HeadingBase"/>
    <w:rsid w:val="002C0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321"/>
    <w:pPr>
      <w:numPr>
        <w:numId w:val="10"/>
      </w:numPr>
    </w:pPr>
  </w:style>
  <w:style w:type="paragraph" w:styleId="PlainText">
    <w:name w:val="Plain Text"/>
    <w:basedOn w:val="Normal"/>
    <w:link w:val="PlainTextChar"/>
    <w:rsid w:val="002C0321"/>
    <w:rPr>
      <w:sz w:val="20"/>
    </w:rPr>
  </w:style>
  <w:style w:type="character" w:customStyle="1" w:styleId="PlainTextChar">
    <w:name w:val="Plain Text Char"/>
    <w:basedOn w:val="DefaultParagraphFont"/>
    <w:link w:val="PlainText"/>
    <w:rsid w:val="002C0321"/>
    <w:rPr>
      <w:rFonts w:ascii="Courier New" w:eastAsia="Times New Roman" w:hAnsi="Courier New" w:cs="Times New Roman"/>
      <w:sz w:val="20"/>
      <w:szCs w:val="20"/>
      <w:lang w:val="en-US" w:eastAsia="en-US"/>
    </w:rPr>
  </w:style>
  <w:style w:type="character" w:customStyle="1" w:styleId="MenuOption">
    <w:name w:val="Menu Option"/>
    <w:rsid w:val="002C0321"/>
    <w:rPr>
      <w:b/>
      <w:smallCaps/>
    </w:rPr>
  </w:style>
  <w:style w:type="paragraph" w:customStyle="1" w:styleId="TableListNumber">
    <w:name w:val="Table List Number"/>
    <w:basedOn w:val="ListNumber"/>
    <w:rsid w:val="002C0321"/>
    <w:pPr>
      <w:numPr>
        <w:numId w:val="0"/>
      </w:numPr>
    </w:pPr>
  </w:style>
  <w:style w:type="paragraph" w:styleId="TOC4">
    <w:name w:val="toc 4"/>
    <w:basedOn w:val="TOCBase"/>
    <w:next w:val="Normal"/>
    <w:semiHidden/>
    <w:rsid w:val="002C0321"/>
    <w:pPr>
      <w:tabs>
        <w:tab w:val="right" w:leader="dot" w:pos="9071"/>
      </w:tabs>
      <w:ind w:left="1701"/>
    </w:pPr>
  </w:style>
  <w:style w:type="paragraph" w:customStyle="1" w:styleId="ListAlpha">
    <w:name w:val="List Alpha"/>
    <w:basedOn w:val="List"/>
    <w:rsid w:val="002C0321"/>
    <w:pPr>
      <w:numPr>
        <w:numId w:val="7"/>
      </w:numPr>
    </w:pPr>
  </w:style>
  <w:style w:type="paragraph" w:customStyle="1" w:styleId="ListAlpha2">
    <w:name w:val="List Alpha 2"/>
    <w:basedOn w:val="List2"/>
    <w:rsid w:val="002C0321"/>
    <w:pPr>
      <w:numPr>
        <w:numId w:val="6"/>
      </w:numPr>
    </w:pPr>
  </w:style>
  <w:style w:type="paragraph" w:styleId="List2">
    <w:name w:val="List 2"/>
    <w:basedOn w:val="BodyText"/>
    <w:rsid w:val="002C0321"/>
    <w:pPr>
      <w:tabs>
        <w:tab w:val="left" w:pos="680"/>
      </w:tabs>
      <w:spacing w:before="60" w:after="60"/>
      <w:ind w:left="680" w:hanging="340"/>
    </w:pPr>
  </w:style>
  <w:style w:type="paragraph" w:styleId="List3">
    <w:name w:val="List 3"/>
    <w:basedOn w:val="BodyText"/>
    <w:rsid w:val="002C0321"/>
    <w:pPr>
      <w:tabs>
        <w:tab w:val="left" w:pos="1021"/>
      </w:tabs>
      <w:spacing w:before="60" w:after="60"/>
      <w:ind w:left="1020" w:hanging="340"/>
    </w:pPr>
  </w:style>
  <w:style w:type="paragraph" w:styleId="List4">
    <w:name w:val="List 4"/>
    <w:basedOn w:val="BodyText"/>
    <w:rsid w:val="002C0321"/>
    <w:pPr>
      <w:tabs>
        <w:tab w:val="left" w:pos="1361"/>
      </w:tabs>
      <w:spacing w:before="60" w:after="60"/>
      <w:ind w:left="1361" w:hanging="340"/>
    </w:pPr>
  </w:style>
  <w:style w:type="paragraph" w:styleId="List5">
    <w:name w:val="List 5"/>
    <w:basedOn w:val="BodyText"/>
    <w:rsid w:val="002C0321"/>
    <w:pPr>
      <w:tabs>
        <w:tab w:val="left" w:pos="1701"/>
      </w:tabs>
      <w:spacing w:before="60" w:after="60"/>
      <w:ind w:left="1701" w:hanging="340"/>
    </w:pPr>
  </w:style>
  <w:style w:type="paragraph" w:styleId="ListBullet3">
    <w:name w:val="List Bullet 3"/>
    <w:basedOn w:val="List3"/>
    <w:rsid w:val="002C0321"/>
    <w:pPr>
      <w:numPr>
        <w:numId w:val="13"/>
      </w:numPr>
      <w:tabs>
        <w:tab w:val="clear" w:pos="1021"/>
      </w:tabs>
      <w:ind w:left="1037" w:hanging="357"/>
    </w:pPr>
  </w:style>
  <w:style w:type="paragraph" w:styleId="ListBullet4">
    <w:name w:val="List Bullet 4"/>
    <w:basedOn w:val="List4"/>
    <w:rsid w:val="002C0321"/>
    <w:pPr>
      <w:numPr>
        <w:numId w:val="1"/>
      </w:numPr>
    </w:pPr>
  </w:style>
  <w:style w:type="paragraph" w:styleId="ListBullet5">
    <w:name w:val="List Bullet 5"/>
    <w:basedOn w:val="List5"/>
    <w:rsid w:val="002C0321"/>
    <w:pPr>
      <w:numPr>
        <w:numId w:val="2"/>
      </w:numPr>
    </w:pPr>
  </w:style>
  <w:style w:type="paragraph" w:styleId="ListContinue2">
    <w:name w:val="List Continue 2"/>
    <w:basedOn w:val="List2"/>
    <w:rsid w:val="002C0321"/>
    <w:pPr>
      <w:ind w:firstLine="0"/>
    </w:pPr>
  </w:style>
  <w:style w:type="paragraph" w:styleId="ListContinue3">
    <w:name w:val="List Continue 3"/>
    <w:basedOn w:val="List3"/>
    <w:rsid w:val="002C0321"/>
    <w:pPr>
      <w:ind w:left="1021" w:firstLine="0"/>
    </w:pPr>
  </w:style>
  <w:style w:type="paragraph" w:styleId="ListContinue4">
    <w:name w:val="List Continue 4"/>
    <w:basedOn w:val="List4"/>
    <w:rsid w:val="002C0321"/>
    <w:pPr>
      <w:ind w:firstLine="0"/>
    </w:pPr>
  </w:style>
  <w:style w:type="paragraph" w:styleId="ListContinue5">
    <w:name w:val="List Continue 5"/>
    <w:basedOn w:val="List5"/>
    <w:rsid w:val="002C0321"/>
    <w:pPr>
      <w:ind w:firstLine="0"/>
    </w:pPr>
  </w:style>
  <w:style w:type="paragraph" w:styleId="ListNumber3">
    <w:name w:val="List Number 3"/>
    <w:basedOn w:val="List3"/>
    <w:rsid w:val="002C0321"/>
    <w:pPr>
      <w:numPr>
        <w:numId w:val="3"/>
      </w:numPr>
    </w:pPr>
  </w:style>
  <w:style w:type="paragraph" w:styleId="ListNumber4">
    <w:name w:val="List Number 4"/>
    <w:basedOn w:val="List4"/>
    <w:rsid w:val="002C0321"/>
    <w:pPr>
      <w:numPr>
        <w:numId w:val="4"/>
      </w:numPr>
    </w:pPr>
  </w:style>
  <w:style w:type="paragraph" w:styleId="ListNumber5">
    <w:name w:val="List Number 5"/>
    <w:basedOn w:val="List5"/>
    <w:rsid w:val="002C0321"/>
    <w:pPr>
      <w:numPr>
        <w:numId w:val="5"/>
      </w:numPr>
    </w:pPr>
  </w:style>
  <w:style w:type="paragraph" w:styleId="BlockText">
    <w:name w:val="Block Text"/>
    <w:basedOn w:val="Normal"/>
    <w:rsid w:val="002C0321"/>
    <w:pPr>
      <w:spacing w:after="120"/>
      <w:ind w:left="1440" w:right="1440"/>
    </w:pPr>
  </w:style>
  <w:style w:type="character" w:customStyle="1" w:styleId="Subscript">
    <w:name w:val="Subscript"/>
    <w:rsid w:val="002C0321"/>
    <w:rPr>
      <w:sz w:val="16"/>
      <w:vertAlign w:val="subscript"/>
    </w:rPr>
  </w:style>
  <w:style w:type="character" w:customStyle="1" w:styleId="Superscript">
    <w:name w:val="Superscript"/>
    <w:rsid w:val="002C0321"/>
    <w:rPr>
      <w:sz w:val="16"/>
      <w:vertAlign w:val="superscript"/>
    </w:rPr>
  </w:style>
  <w:style w:type="character" w:customStyle="1" w:styleId="Symbols">
    <w:name w:val="Symbols"/>
    <w:rsid w:val="002C0321"/>
    <w:rPr>
      <w:rFonts w:ascii="Symbol" w:hAnsi="Symbol"/>
    </w:rPr>
  </w:style>
  <w:style w:type="character" w:customStyle="1" w:styleId="MenuOptions">
    <w:name w:val="Menu Options"/>
    <w:rsid w:val="002C0321"/>
    <w:rPr>
      <w:rFonts w:ascii="Arial Narrow" w:hAnsi="Arial Narrow"/>
      <w:smallCaps/>
    </w:rPr>
  </w:style>
  <w:style w:type="character" w:customStyle="1" w:styleId="Buttons">
    <w:name w:val="Buttons"/>
    <w:rsid w:val="002C0321"/>
    <w:rPr>
      <w:b/>
    </w:rPr>
  </w:style>
  <w:style w:type="character" w:customStyle="1" w:styleId="Underlined">
    <w:name w:val="Underlined"/>
    <w:rsid w:val="002C0321"/>
    <w:rPr>
      <w:u w:val="single"/>
    </w:rPr>
  </w:style>
  <w:style w:type="paragraph" w:customStyle="1" w:styleId="TableBodyTextRight">
    <w:name w:val="Table Body Text Right"/>
    <w:basedOn w:val="TableBodyText"/>
    <w:rsid w:val="002C0321"/>
    <w:pPr>
      <w:widowControl w:val="0"/>
      <w:autoSpaceDE w:val="0"/>
      <w:autoSpaceDN w:val="0"/>
      <w:adjustRightInd w:val="0"/>
      <w:jc w:val="right"/>
    </w:pPr>
    <w:rPr>
      <w:rFonts w:cs="Arial"/>
      <w:szCs w:val="18"/>
    </w:rPr>
  </w:style>
  <w:style w:type="paragraph" w:customStyle="1" w:styleId="CopyrightText">
    <w:name w:val="Copyright Text"/>
    <w:basedOn w:val="BodyText"/>
    <w:rsid w:val="002C0321"/>
    <w:rPr>
      <w:sz w:val="18"/>
    </w:rPr>
  </w:style>
  <w:style w:type="paragraph" w:customStyle="1" w:styleId="BodySmallRight">
    <w:name w:val="Body Small Right"/>
    <w:basedOn w:val="BodyTextRight"/>
    <w:rsid w:val="002C0321"/>
    <w:rPr>
      <w:sz w:val="18"/>
      <w:szCs w:val="18"/>
    </w:rPr>
  </w:style>
  <w:style w:type="paragraph" w:customStyle="1" w:styleId="MarginEdition">
    <w:name w:val="Margin Edition"/>
    <w:basedOn w:val="MarginNote"/>
    <w:rsid w:val="002C0321"/>
    <w:pPr>
      <w:spacing w:before="0" w:after="0"/>
    </w:pPr>
    <w:rPr>
      <w:rFonts w:ascii="Times New Roman" w:hAnsi="Times New Roman"/>
      <w:color w:val="999999"/>
    </w:rPr>
  </w:style>
  <w:style w:type="paragraph" w:customStyle="1" w:styleId="Spacer">
    <w:name w:val="Spacer"/>
    <w:basedOn w:val="Normal"/>
    <w:rsid w:val="002C0321"/>
    <w:rPr>
      <w:sz w:val="2"/>
      <w:szCs w:val="2"/>
    </w:rPr>
  </w:style>
  <w:style w:type="character" w:customStyle="1" w:styleId="Small">
    <w:name w:val="Small"/>
    <w:rsid w:val="002C0321"/>
    <w:rPr>
      <w:sz w:val="16"/>
    </w:rPr>
  </w:style>
  <w:style w:type="paragraph" w:customStyle="1" w:styleId="WideTable">
    <w:name w:val="Wide Table"/>
    <w:basedOn w:val="Normal"/>
    <w:rsid w:val="002C0321"/>
    <w:pPr>
      <w:ind w:left="-1418"/>
    </w:pPr>
    <w:rPr>
      <w:sz w:val="2"/>
      <w:szCs w:val="2"/>
    </w:rPr>
  </w:style>
  <w:style w:type="character" w:styleId="PageNumber">
    <w:name w:val="page number"/>
    <w:rsid w:val="002C0321"/>
  </w:style>
  <w:style w:type="paragraph" w:styleId="Quote">
    <w:name w:val="Quote"/>
    <w:basedOn w:val="Heading1"/>
    <w:link w:val="QuoteChar"/>
    <w:qFormat/>
    <w:rsid w:val="002C0321"/>
    <w:rPr>
      <w:b w:val="0"/>
      <w:sz w:val="72"/>
      <w:szCs w:val="72"/>
      <w:lang w:val="en-NZ"/>
    </w:rPr>
  </w:style>
  <w:style w:type="character" w:customStyle="1" w:styleId="QuoteChar">
    <w:name w:val="Quote Char"/>
    <w:link w:val="Quote"/>
    <w:rsid w:val="002C0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321"/>
    <w:pPr>
      <w:pageBreakBefore/>
    </w:pPr>
  </w:style>
  <w:style w:type="paragraph" w:customStyle="1" w:styleId="Border">
    <w:name w:val="Border"/>
    <w:basedOn w:val="Normal"/>
    <w:qFormat/>
    <w:rsid w:val="002C0321"/>
    <w:pPr>
      <w:pBdr>
        <w:top w:val="single" w:sz="18" w:space="1" w:color="auto"/>
      </w:pBdr>
    </w:pPr>
    <w:rPr>
      <w:rFonts w:ascii="Times New Roman" w:hAnsi="Times New Roman"/>
      <w:color w:val="FFFFFF"/>
      <w:sz w:val="2"/>
    </w:rPr>
  </w:style>
  <w:style w:type="character" w:styleId="IntenseEmphasis">
    <w:name w:val="Intense Emphasis"/>
    <w:uiPriority w:val="21"/>
    <w:qFormat/>
    <w:rsid w:val="002C0321"/>
    <w:rPr>
      <w:b/>
      <w:bCs/>
      <w:i/>
      <w:iCs/>
      <w:color w:val="auto"/>
    </w:rPr>
  </w:style>
  <w:style w:type="paragraph" w:styleId="IntenseQuote">
    <w:name w:val="Intense Quote"/>
    <w:basedOn w:val="Normal"/>
    <w:next w:val="Normal"/>
    <w:link w:val="IntenseQuoteChar"/>
    <w:uiPriority w:val="30"/>
    <w:qFormat/>
    <w:rsid w:val="002C03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0321"/>
    <w:rPr>
      <w:rFonts w:ascii="Courier New" w:eastAsia="Times New Roman" w:hAnsi="Courier New" w:cs="Times New Roman"/>
      <w:b/>
      <w:bCs/>
      <w:i/>
      <w:iCs/>
      <w:szCs w:val="20"/>
      <w:lang w:val="en-US" w:eastAsia="en-US"/>
    </w:rPr>
  </w:style>
  <w:style w:type="character" w:styleId="SubtleReference">
    <w:name w:val="Subtle Reference"/>
    <w:uiPriority w:val="31"/>
    <w:qFormat/>
    <w:rsid w:val="002C0321"/>
    <w:rPr>
      <w:smallCaps/>
      <w:color w:val="auto"/>
      <w:u w:val="single"/>
    </w:rPr>
  </w:style>
  <w:style w:type="character" w:styleId="IntenseReference">
    <w:name w:val="Intense Reference"/>
    <w:uiPriority w:val="32"/>
    <w:qFormat/>
    <w:rsid w:val="002C0321"/>
    <w:rPr>
      <w:b/>
      <w:bCs/>
      <w:smallCaps/>
      <w:color w:val="auto"/>
      <w:spacing w:val="5"/>
      <w:u w:val="single"/>
    </w:rPr>
  </w:style>
  <w:style w:type="paragraph" w:customStyle="1" w:styleId="2ColumnHeading">
    <w:name w:val="2Column Heading"/>
    <w:basedOn w:val="BodyText"/>
    <w:qFormat/>
    <w:rsid w:val="002C0321"/>
    <w:pPr>
      <w:spacing w:after="60"/>
      <w:ind w:left="-2268"/>
    </w:pPr>
    <w:rPr>
      <w:b/>
    </w:rPr>
  </w:style>
  <w:style w:type="paragraph" w:customStyle="1" w:styleId="Heading1TOC">
    <w:name w:val="Heading1 TOC"/>
    <w:basedOn w:val="Normal"/>
    <w:qFormat/>
    <w:rsid w:val="002C0321"/>
    <w:pPr>
      <w:spacing w:before="240" w:after="120"/>
    </w:pPr>
    <w:rPr>
      <w:rFonts w:ascii="Times New Roman" w:hAnsi="Times New Roman"/>
      <w:b/>
      <w:sz w:val="32"/>
    </w:rPr>
  </w:style>
  <w:style w:type="paragraph" w:customStyle="1" w:styleId="Heading2TOC">
    <w:name w:val="Heading2 TOC"/>
    <w:basedOn w:val="Normal"/>
    <w:qFormat/>
    <w:rsid w:val="002C0321"/>
    <w:pPr>
      <w:spacing w:before="240" w:after="60"/>
    </w:pPr>
    <w:rPr>
      <w:rFonts w:ascii="Times New Roman" w:hAnsi="Times New Roman"/>
      <w:b/>
      <w:sz w:val="28"/>
    </w:rPr>
  </w:style>
  <w:style w:type="character" w:customStyle="1" w:styleId="Underline">
    <w:name w:val="Underline"/>
    <w:qFormat/>
    <w:rsid w:val="002C0321"/>
    <w:rPr>
      <w:u w:val="single"/>
    </w:rPr>
  </w:style>
  <w:style w:type="character" w:customStyle="1" w:styleId="BoldandItalics">
    <w:name w:val="Bold and Italics"/>
    <w:qFormat/>
    <w:rsid w:val="002C0321"/>
    <w:rPr>
      <w:b/>
      <w:i/>
      <w:u w:val="none"/>
    </w:rPr>
  </w:style>
  <w:style w:type="paragraph" w:styleId="BalloonText">
    <w:name w:val="Balloon Text"/>
    <w:basedOn w:val="Normal"/>
    <w:link w:val="BalloonTextChar"/>
    <w:rsid w:val="002C0321"/>
    <w:rPr>
      <w:rFonts w:ascii="Tahoma" w:hAnsi="Tahoma" w:cs="Tahoma"/>
      <w:sz w:val="16"/>
      <w:szCs w:val="16"/>
    </w:rPr>
  </w:style>
  <w:style w:type="character" w:customStyle="1" w:styleId="BalloonTextChar">
    <w:name w:val="Balloon Text Char"/>
    <w:link w:val="BalloonText"/>
    <w:rsid w:val="002C03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3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03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7381</Characters>
  <Application>Microsoft Office Word</Application>
  <DocSecurity>0</DocSecurity>
  <Lines>290</Lines>
  <Paragraphs>129</Paragraphs>
  <ScaleCrop>false</ScaleCrop>
  <Company>Author-it Software Corporation Ltd.</Company>
  <LinksUpToDate>false</LinksUpToDate>
  <CharactersWithSpaces>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CHCYTH301D Work effectively with young people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2012-05-26T14:47:00Z</dcterms:created>
  <dcterms:modified xsi:type="dcterms:W3CDTF">2012-05-26T14:47:00Z</dcterms:modified>
</cp:coreProperties>
</file>