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4AA" w:rsidP="00D524AA">
      <w:pPr>
        <w:pStyle w:val="Title"/>
      </w:pPr>
      <w:r>
        <w:fldChar w:fldCharType="begin"/>
      </w:r>
      <w:r>
        <w:instrText xml:space="preserve"> TITLE   \* MERGEFORMAT </w:instrText>
      </w:r>
      <w:r>
        <w:fldChar w:fldCharType="separate"/>
      </w:r>
      <w:r>
        <w:t>CHCAC318A Work effectively with older people</w:t>
      </w:r>
      <w:r>
        <w:fldChar w:fldCharType="end"/>
      </w:r>
    </w:p>
    <w:p w:rsidR="00D524AA" w:rsidP="00D524AA">
      <w:pPr>
        <w:pStyle w:val="Version"/>
        <w:sectPr w:rsidSect="002E26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26B8" w:rsidP="002E26B8">
      <w:pPr>
        <w:pStyle w:val="SuperHeading"/>
      </w:pPr>
      <w:r w:rsidRPr="002E26B8">
        <w:t>CHCAC318A Work effectively with older people</w:t>
      </w:r>
    </w:p>
    <w:p w:rsidR="00000000" w:rsidRPr="002E26B8" w:rsidP="002E26B8">
      <w:pPr>
        <w:pStyle w:val="Heading1"/>
      </w:pPr>
      <w:bookmarkStart w:id="1" w:name="O_312944"/>
      <w:bookmarkEnd w:id="1"/>
      <w:r w:rsidRPr="002E26B8">
        <w:t>Modification History</w:t>
      </w:r>
    </w:p>
    <w:p w:rsidR="00000000" w:rsidRPr="002E26B8" w:rsidP="002E26B8">
      <w:pPr>
        <w:pStyle w:val="Heading1"/>
      </w:pPr>
      <w:bookmarkStart w:id="2" w:name="O_312943"/>
      <w:bookmarkEnd w:id="2"/>
      <w:r w:rsidRPr="002E26B8">
        <w:t>Unit Descriptor</w:t>
      </w:r>
    </w:p>
    <w:p w:rsidR="00000000" w:rsidRPr="002E26B8" w:rsidP="002E26B8">
      <w:pPr>
        <w:pStyle w:val="BodyText"/>
      </w:pPr>
      <w:r w:rsidRPr="002E26B8">
        <w:t>This unit describes the skills and knowledge required by the worker to perform work that reflects understanding of the structure and profi</w:t>
      </w:r>
      <w:r w:rsidRPr="002E26B8">
        <w:t>le of the residential aged care sector, the home and community sector and key issues facing older people in the community</w:t>
      </w:r>
    </w:p>
    <w:p w:rsidR="00000000" w:rsidRPr="002E26B8" w:rsidP="002E26B8">
      <w:pPr>
        <w:pStyle w:val="BodyText"/>
      </w:pPr>
      <w:r w:rsidRPr="002E26B8">
        <w:t>This unit describes the skills and knowledge required by the worker to perform work that reflects understanding of the structure and p</w:t>
      </w:r>
      <w:r w:rsidRPr="002E26B8">
        <w:t>rofile of the residential aged care sector, the home and community sector and key issues facing older people in the community</w:t>
      </w:r>
    </w:p>
    <w:p w:rsidR="00000000" w:rsidRPr="002E26B8" w:rsidP="002E26B8">
      <w:pPr>
        <w:pStyle w:val="AllowPageBreak"/>
      </w:pPr>
    </w:p>
    <w:p w:rsidR="00000000" w:rsidRPr="002E26B8" w:rsidP="002E26B8">
      <w:pPr>
        <w:pStyle w:val="Heading1"/>
      </w:pPr>
      <w:bookmarkStart w:id="3" w:name="O_312942"/>
      <w:bookmarkEnd w:id="3"/>
      <w:r w:rsidRPr="002E26B8">
        <w:t>Application of the Unit</w:t>
      </w:r>
    </w:p>
    <w:p w:rsidR="00000000" w:rsidRPr="002E26B8" w:rsidP="002E26B8">
      <w:pPr>
        <w:pStyle w:val="BodyText"/>
      </w:pPr>
      <w:r w:rsidRPr="002E26B8">
        <w:t>This unit is an orientation to all workers in the aged care sector, or those working with</w:t>
      </w:r>
      <w:r w:rsidRPr="002E26B8">
        <w:t xml:space="preserve"> older people</w:t>
      </w:r>
    </w:p>
    <w:p w:rsidR="00000000" w:rsidRPr="002E26B8" w:rsidP="002E26B8">
      <w:pPr>
        <w:pStyle w:val="BodyText"/>
      </w:pPr>
      <w:r w:rsidRPr="002E26B8">
        <w:t>This unit is an orientation to all workers in the aged care sector, or those working with older people</w:t>
      </w:r>
    </w:p>
    <w:p w:rsidR="00000000" w:rsidRPr="002E26B8" w:rsidP="002E26B8">
      <w:pPr>
        <w:pStyle w:val="AllowPageBreak"/>
      </w:pPr>
    </w:p>
    <w:p w:rsidR="00000000" w:rsidRPr="002E26B8" w:rsidP="002E26B8">
      <w:pPr>
        <w:pStyle w:val="Heading1"/>
      </w:pPr>
      <w:bookmarkStart w:id="4" w:name="O_312941"/>
      <w:bookmarkEnd w:id="4"/>
      <w:r w:rsidRPr="002E26B8">
        <w:t>Licensing/Regulatory Information</w:t>
      </w:r>
    </w:p>
    <w:p w:rsidR="00000000" w:rsidRPr="002E26B8" w:rsidP="002E26B8">
      <w:pPr>
        <w:pStyle w:val="Heading1"/>
      </w:pPr>
      <w:bookmarkStart w:id="5" w:name="O_312940"/>
      <w:bookmarkEnd w:id="5"/>
      <w:r w:rsidRPr="002E26B8">
        <w:t>Pre-Requisites</w:t>
      </w:r>
    </w:p>
    <w:p w:rsidR="00000000" w:rsidRPr="002E26B8" w:rsidP="002E26B8">
      <w:pPr>
        <w:pStyle w:val="Heading1"/>
      </w:pPr>
      <w:bookmarkStart w:id="6" w:name="O_312934"/>
      <w:bookmarkEnd w:id="6"/>
      <w:r w:rsidRPr="002E26B8">
        <w:t>Employability Skills Information</w:t>
      </w:r>
    </w:p>
    <w:p w:rsidR="00000000" w:rsidRPr="002E26B8" w:rsidP="002E26B8">
      <w:pPr>
        <w:pStyle w:val="BodyText"/>
      </w:pPr>
      <w:r w:rsidRPr="002E26B8">
        <w:t>This unit contains Employability Skills</w:t>
      </w:r>
    </w:p>
    <w:p w:rsidR="00000000" w:rsidRPr="002E26B8" w:rsidP="002E26B8">
      <w:pPr>
        <w:pStyle w:val="BodyText"/>
      </w:pPr>
      <w:r w:rsidRPr="002E26B8">
        <w:t>This unit contains Employability Skills</w:t>
      </w:r>
    </w:p>
    <w:p w:rsidR="00000000" w:rsidRPr="002E26B8" w:rsidP="002E26B8">
      <w:pPr>
        <w:pStyle w:val="AllowPageBreak"/>
      </w:pPr>
    </w:p>
    <w:p w:rsidR="00000000" w:rsidRPr="002E26B8" w:rsidP="002E26B8">
      <w:pPr>
        <w:pStyle w:val="Heading1"/>
      </w:pPr>
      <w:bookmarkStart w:id="7" w:name="O_312939"/>
      <w:bookmarkEnd w:id="7"/>
      <w:r w:rsidRPr="002E26B8">
        <w:t>Elements and Performance Criteria Pre-Content</w:t>
      </w:r>
    </w:p>
    <w:p w:rsidR="00000000" w:rsidRPr="002E26B8" w:rsidP="002E26B8">
      <w:pPr>
        <w:pStyle w:val="BodyText"/>
      </w:pPr>
      <w:r w:rsidRPr="002E26B8">
        <w:t>Elements define the essential outcomes of a unit of competency.</w:t>
      </w:r>
    </w:p>
    <w:p w:rsidR="00000000" w:rsidRPr="002E26B8" w:rsidP="002E26B8">
      <w:pPr>
        <w:pStyle w:val="BodyText"/>
      </w:pPr>
      <w:r w:rsidRPr="002E26B8">
        <w:t>The Performance Criteria specify the level of per</w:t>
      </w:r>
      <w:r w:rsidRPr="002E26B8">
        <w:t xml:space="preserve">formance required to demonstrate achievement of the Element. Terms in italics are elaborated in the Range Statement. </w:t>
      </w:r>
    </w:p>
    <w:p w:rsidR="00000000" w:rsidRPr="002E26B8" w:rsidP="002E26B8">
      <w:pPr>
        <w:pStyle w:val="BodyText"/>
      </w:pPr>
      <w:r w:rsidRPr="002E26B8">
        <w:t>Elements define the essential outcomes of a unit of competency.</w:t>
      </w:r>
    </w:p>
    <w:p w:rsidR="00000000" w:rsidRPr="002E26B8" w:rsidP="002E26B8">
      <w:pPr>
        <w:pStyle w:val="BodyText"/>
      </w:pPr>
      <w:r w:rsidRPr="002E26B8">
        <w:t>The Performance Criteria specify the level of performance required to demo</w:t>
      </w:r>
      <w:r w:rsidRPr="002E26B8">
        <w:t xml:space="preserve">nstrate achievement of the Element. Terms in italics are elaborated in the Range Statement. </w:t>
      </w:r>
    </w:p>
    <w:p w:rsidR="00000000" w:rsidRPr="002E26B8" w:rsidP="002E26B8">
      <w:pPr>
        <w:pStyle w:val="AllowPageBreak"/>
      </w:pPr>
    </w:p>
    <w:p w:rsidR="00000000" w:rsidRPr="002E26B8" w:rsidP="002E26B8">
      <w:pPr>
        <w:pStyle w:val="Heading1"/>
      </w:pPr>
      <w:bookmarkStart w:id="8" w:name="O_312945"/>
      <w:bookmarkEnd w:id="8"/>
      <w:r w:rsidRPr="002E26B8">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D524A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rPr>
                <w:rStyle w:val="SpecialBold"/>
              </w:rPr>
              <w:t>Elements and Performance Criteria</w:t>
            </w:r>
          </w:p>
        </w:tc>
      </w:tr>
      <w:tr w:rsidTr="00D524A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E26B8" w:rsidP="002E26B8">
            <w:pPr>
              <w:pStyle w:val="BodyText"/>
            </w:pPr>
            <w:r w:rsidRPr="002E26B8">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rPr>
                <w:rStyle w:val="SpecialBold"/>
              </w:rPr>
              <w:t>Performance Criteria</w:t>
            </w:r>
          </w:p>
        </w:tc>
      </w:tr>
      <w:tr w:rsidTr="00D524A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1</w:t>
            </w:r>
          </w:p>
        </w:tc>
        <w:tc>
          <w:tcPr>
            <w:tcW w:w="3000" w:type="dxa"/>
            <w:vMerge w:val="restart"/>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Apply understanding of the structure and profile of the residential aged care sector</w:t>
            </w:r>
          </w:p>
        </w:tc>
        <w:tc>
          <w:tcPr>
            <w:tcW w:w="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1.1</w:t>
            </w:r>
          </w:p>
        </w:tc>
        <w:tc>
          <w:tcPr>
            <w:tcW w:w="51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 xml:space="preserve">Conduct work that reflects an understanding of the key </w:t>
            </w:r>
            <w:r w:rsidRPr="002E26B8">
              <w:rPr>
                <w:rStyle w:val="SpecialBold"/>
              </w:rPr>
              <w:t xml:space="preserve">issues facing older people </w:t>
            </w:r>
            <w:r w:rsidRPr="002E26B8">
              <w:t>and their carer/s</w:t>
            </w:r>
          </w:p>
        </w:tc>
      </w:tr>
      <w:tr w:rsidTr="00D524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1.2</w:t>
            </w:r>
          </w:p>
        </w:tc>
        <w:tc>
          <w:tcPr>
            <w:tcW w:w="51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 xml:space="preserve">Conduct work that reflects an understanding of the </w:t>
            </w:r>
            <w:r w:rsidRPr="002E26B8">
              <w:rPr>
                <w:rStyle w:val="SpecialBold"/>
              </w:rPr>
              <w:t>current p</w:t>
            </w:r>
            <w:r w:rsidRPr="002E26B8">
              <w:rPr>
                <w:rStyle w:val="SpecialBold"/>
              </w:rPr>
              <w:t xml:space="preserve">hilosophies of service delivery </w:t>
            </w:r>
            <w:r w:rsidRPr="002E26B8">
              <w:t>in the sector</w:t>
            </w:r>
          </w:p>
        </w:tc>
      </w:tr>
      <w:tr w:rsidTr="00D524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1.3</w:t>
            </w:r>
          </w:p>
        </w:tc>
        <w:tc>
          <w:tcPr>
            <w:tcW w:w="51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 xml:space="preserve">Recognise the impact of ageing demographics on funding and service delivery models </w:t>
            </w:r>
          </w:p>
        </w:tc>
      </w:tr>
      <w:tr w:rsidTr="00D524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1.4</w:t>
            </w:r>
          </w:p>
        </w:tc>
        <w:tc>
          <w:tcPr>
            <w:tcW w:w="51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Conduct work that reflects an understanding of current legislation</w:t>
            </w:r>
          </w:p>
        </w:tc>
      </w:tr>
      <w:tr w:rsidTr="00D524A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2</w:t>
            </w:r>
          </w:p>
        </w:tc>
        <w:tc>
          <w:tcPr>
            <w:tcW w:w="3000" w:type="dxa"/>
            <w:vMerge w:val="restart"/>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Apply understanding of the home and community care sector</w:t>
            </w:r>
          </w:p>
        </w:tc>
        <w:tc>
          <w:tcPr>
            <w:tcW w:w="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2.1</w:t>
            </w:r>
          </w:p>
        </w:tc>
        <w:tc>
          <w:tcPr>
            <w:tcW w:w="51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Demonstrate broad knowledge of policy and programs such as HACC, DVA and Government community care directions</w:t>
            </w:r>
          </w:p>
        </w:tc>
      </w:tr>
      <w:tr w:rsidTr="00D524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2.2</w:t>
            </w:r>
          </w:p>
        </w:tc>
        <w:tc>
          <w:tcPr>
            <w:tcW w:w="51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Comply with duty of care implementation in home and community settings and worker roles</w:t>
            </w:r>
          </w:p>
        </w:tc>
      </w:tr>
      <w:tr w:rsidTr="00D524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2.3</w:t>
            </w:r>
          </w:p>
        </w:tc>
        <w:tc>
          <w:tcPr>
            <w:tcW w:w="51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Demonstrate broad knowledge of 'ageing in place'</w:t>
            </w:r>
          </w:p>
        </w:tc>
      </w:tr>
      <w:tr w:rsidTr="00D524A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3</w:t>
            </w:r>
          </w:p>
        </w:tc>
        <w:tc>
          <w:tcPr>
            <w:tcW w:w="3000" w:type="dxa"/>
            <w:vMerge w:val="restart"/>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Demonstrate commitment to the philosophy of 'positive ageing'</w:t>
            </w:r>
          </w:p>
        </w:tc>
        <w:tc>
          <w:tcPr>
            <w:tcW w:w="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3.1</w:t>
            </w:r>
          </w:p>
        </w:tc>
        <w:tc>
          <w:tcPr>
            <w:tcW w:w="51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Take into account personal values and attit</w:t>
            </w:r>
            <w:r w:rsidRPr="002E26B8">
              <w:t>udes when planning and implementing work activities</w:t>
            </w:r>
          </w:p>
        </w:tc>
      </w:tr>
      <w:tr w:rsidTr="00D524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3.2</w:t>
            </w:r>
          </w:p>
        </w:tc>
        <w:tc>
          <w:tcPr>
            <w:tcW w:w="51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 xml:space="preserve">Recognise and manage ageist attitudes through the support of the </w:t>
            </w:r>
            <w:r w:rsidRPr="002E26B8">
              <w:rPr>
                <w:rStyle w:val="SpecialBold"/>
              </w:rPr>
              <w:t>appropriate person</w:t>
            </w:r>
          </w:p>
        </w:tc>
      </w:tr>
      <w:tr w:rsidTr="00D524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3.3</w:t>
            </w:r>
          </w:p>
        </w:tc>
        <w:tc>
          <w:tcPr>
            <w:tcW w:w="51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 xml:space="preserve">Recognise the impact of changing expectations of clients, their family and the wider community in relation to service delivery </w:t>
            </w:r>
          </w:p>
        </w:tc>
      </w:tr>
      <w:tr w:rsidTr="00D524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3.4</w:t>
            </w:r>
          </w:p>
        </w:tc>
        <w:tc>
          <w:tcPr>
            <w:tcW w:w="51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Conduct work that reflects an understanding of the individuality of ageing</w:t>
            </w:r>
          </w:p>
        </w:tc>
      </w:tr>
      <w:tr w:rsidTr="00D524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3.5</w:t>
            </w:r>
          </w:p>
        </w:tc>
        <w:tc>
          <w:tcPr>
            <w:tcW w:w="51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Conduct work that minimises the effects of stereotypical attitudes and myths on the older person</w:t>
            </w:r>
          </w:p>
        </w:tc>
      </w:tr>
      <w:tr w:rsidTr="00D524A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4</w:t>
            </w:r>
          </w:p>
        </w:tc>
        <w:tc>
          <w:tcPr>
            <w:tcW w:w="3000" w:type="dxa"/>
            <w:vMerge w:val="restart"/>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Apply understanding of the physical and psychosocial aspects of ageing</w:t>
            </w:r>
          </w:p>
        </w:tc>
        <w:tc>
          <w:tcPr>
            <w:tcW w:w="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4.1</w:t>
            </w:r>
          </w:p>
        </w:tc>
        <w:tc>
          <w:tcPr>
            <w:tcW w:w="51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Outline strategies that the older person may adopt to promote healthy lifestyle p</w:t>
            </w:r>
            <w:r w:rsidRPr="002E26B8">
              <w:t xml:space="preserve">ractices </w:t>
            </w:r>
          </w:p>
        </w:tc>
      </w:tr>
      <w:tr w:rsidTr="00D524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4.2</w:t>
            </w:r>
          </w:p>
        </w:tc>
        <w:tc>
          <w:tcPr>
            <w:tcW w:w="51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Take into account physical changes associated with ageing when delivering services</w:t>
            </w:r>
          </w:p>
        </w:tc>
      </w:tr>
      <w:tr w:rsidTr="00D524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4.3</w:t>
            </w:r>
          </w:p>
        </w:tc>
        <w:tc>
          <w:tcPr>
            <w:tcW w:w="51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Recognise and accommodate the older person's interests and life activities when delivering services</w:t>
            </w:r>
          </w:p>
        </w:tc>
      </w:tr>
      <w:tr w:rsidTr="00D524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4.4</w:t>
            </w:r>
          </w:p>
        </w:tc>
        <w:tc>
          <w:tcPr>
            <w:tcW w:w="51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Assist the older person to recognise the impact physical changes associated with ageing may have on their activities of living</w:t>
            </w:r>
          </w:p>
        </w:tc>
      </w:tr>
      <w:tr w:rsidTr="00D524A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5</w:t>
            </w:r>
          </w:p>
        </w:tc>
        <w:tc>
          <w:tcPr>
            <w:tcW w:w="3000" w:type="dxa"/>
            <w:vMerge w:val="restart"/>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Apply understanding of changes associated with ageing</w:t>
            </w:r>
          </w:p>
        </w:tc>
        <w:tc>
          <w:tcPr>
            <w:tcW w:w="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5.1</w:t>
            </w:r>
          </w:p>
        </w:tc>
        <w:tc>
          <w:tcPr>
            <w:tcW w:w="51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Take into account physical changes associated with ageing when deliv</w:t>
            </w:r>
            <w:r w:rsidRPr="002E26B8">
              <w:t>ering services</w:t>
            </w:r>
          </w:p>
        </w:tc>
      </w:tr>
      <w:tr w:rsidTr="00D524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5.2</w:t>
            </w:r>
          </w:p>
        </w:tc>
        <w:tc>
          <w:tcPr>
            <w:tcW w:w="51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Apply knowledge of common problems associated with ageing when delivering services</w:t>
            </w:r>
          </w:p>
        </w:tc>
      </w:tr>
      <w:tr w:rsidTr="00D524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5.3</w:t>
            </w:r>
          </w:p>
        </w:tc>
        <w:tc>
          <w:tcPr>
            <w:tcW w:w="51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Assist the older person to recognise the impact that changes associated with ageing may have on their activities of living</w:t>
            </w:r>
          </w:p>
        </w:tc>
      </w:tr>
      <w:tr w:rsidTr="00D524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5.4</w:t>
            </w:r>
          </w:p>
        </w:tc>
        <w:tc>
          <w:tcPr>
            <w:tcW w:w="51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Communicate situations of risk or potential risk associated with ageing to the older person</w:t>
            </w:r>
          </w:p>
        </w:tc>
      </w:tr>
      <w:tr w:rsidTr="00D524A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6</w:t>
            </w:r>
          </w:p>
        </w:tc>
        <w:tc>
          <w:tcPr>
            <w:tcW w:w="3000" w:type="dxa"/>
            <w:vMerge w:val="restart"/>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 xml:space="preserve">Support the </w:t>
            </w:r>
            <w:r w:rsidRPr="002E26B8">
              <w:rPr>
                <w:rStyle w:val="SpecialBold"/>
              </w:rPr>
              <w:t xml:space="preserve">rights </w:t>
            </w:r>
            <w:r w:rsidRPr="002E26B8">
              <w:t>and interests of the older person</w:t>
            </w:r>
          </w:p>
        </w:tc>
        <w:tc>
          <w:tcPr>
            <w:tcW w:w="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6.1</w:t>
            </w:r>
          </w:p>
        </w:tc>
        <w:tc>
          <w:tcPr>
            <w:tcW w:w="51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 xml:space="preserve">Encourage and support the older person and/or their advocate/s to be aware of their </w:t>
            </w:r>
            <w:r w:rsidRPr="002E26B8">
              <w:rPr>
                <w:rStyle w:val="SpecialBold"/>
              </w:rPr>
              <w:t xml:space="preserve">rights </w:t>
            </w:r>
            <w:r w:rsidRPr="002E26B8">
              <w:t>and responsibilities</w:t>
            </w:r>
          </w:p>
        </w:tc>
      </w:tr>
      <w:tr w:rsidTr="00D524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6.2</w:t>
            </w:r>
          </w:p>
        </w:tc>
        <w:tc>
          <w:tcPr>
            <w:tcW w:w="51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 xml:space="preserve">Conduct work that demonstrates a commitment to </w:t>
            </w:r>
            <w:r w:rsidRPr="002E26B8">
              <w:rPr>
                <w:rStyle w:val="SpecialBold"/>
              </w:rPr>
              <w:t>access and equity principles</w:t>
            </w:r>
          </w:p>
        </w:tc>
      </w:tr>
      <w:tr w:rsidTr="00D524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6.3</w:t>
            </w:r>
          </w:p>
        </w:tc>
        <w:tc>
          <w:tcPr>
            <w:tcW w:w="51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Adopt strategies to empower the older person and/or their advocate/s in regard to their service requirements</w:t>
            </w:r>
          </w:p>
        </w:tc>
      </w:tr>
      <w:tr w:rsidTr="00D524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6.4</w:t>
            </w:r>
          </w:p>
        </w:tc>
        <w:tc>
          <w:tcPr>
            <w:tcW w:w="51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Provide information to the older person and/or their advocate/s to facilitate choice in their decision-making</w:t>
            </w:r>
          </w:p>
        </w:tc>
      </w:tr>
      <w:tr w:rsidTr="00D524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6.5</w:t>
            </w:r>
          </w:p>
        </w:tc>
        <w:tc>
          <w:tcPr>
            <w:tcW w:w="51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 xml:space="preserve">Recognise and </w:t>
            </w:r>
            <w:r w:rsidRPr="002E26B8">
              <w:rPr>
                <w:rStyle w:val="SpecialBold"/>
              </w:rPr>
              <w:t xml:space="preserve">report </w:t>
            </w:r>
            <w:r w:rsidRPr="002E26B8">
              <w:t xml:space="preserve">to an </w:t>
            </w:r>
            <w:r w:rsidRPr="002E26B8">
              <w:rPr>
                <w:rStyle w:val="SpecialBold"/>
              </w:rPr>
              <w:t xml:space="preserve">appropriate person </w:t>
            </w:r>
            <w:r w:rsidRPr="002E26B8">
              <w:t>when an older person's rights are not being upheld</w:t>
            </w:r>
          </w:p>
        </w:tc>
      </w:tr>
      <w:tr w:rsidTr="00D524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6.6</w:t>
            </w:r>
          </w:p>
        </w:tc>
        <w:tc>
          <w:tcPr>
            <w:tcW w:w="51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Provide services regardless of dive</w:t>
            </w:r>
            <w:r w:rsidRPr="002E26B8">
              <w:t>rsity of race or cultural, spiritual, or sexual preferences</w:t>
            </w:r>
          </w:p>
        </w:tc>
      </w:tr>
      <w:tr w:rsidTr="00D524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6.7</w:t>
            </w:r>
          </w:p>
        </w:tc>
        <w:tc>
          <w:tcPr>
            <w:tcW w:w="51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Provide information to the older person and/or their advocate/s regarding mechanisms for lodging complaints</w:t>
            </w:r>
          </w:p>
        </w:tc>
      </w:tr>
      <w:tr w:rsidTr="00D524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6.8</w:t>
            </w:r>
          </w:p>
        </w:tc>
        <w:tc>
          <w:tcPr>
            <w:tcW w:w="51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Identify indicators of elder abuse and respond appropriately in line with organisation guidelines</w:t>
            </w:r>
          </w:p>
        </w:tc>
      </w:tr>
      <w:tr w:rsidTr="00D524A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7</w:t>
            </w:r>
          </w:p>
        </w:tc>
        <w:tc>
          <w:tcPr>
            <w:tcW w:w="3000" w:type="dxa"/>
            <w:vMerge w:val="restart"/>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Support the older person who is experiencing loss and grief</w:t>
            </w:r>
          </w:p>
        </w:tc>
        <w:tc>
          <w:tcPr>
            <w:tcW w:w="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7.1</w:t>
            </w:r>
          </w:p>
        </w:tc>
        <w:tc>
          <w:tcPr>
            <w:tcW w:w="51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 xml:space="preserve">Recognise signs that older person is experiencing grief and </w:t>
            </w:r>
            <w:r w:rsidRPr="002E26B8">
              <w:rPr>
                <w:rStyle w:val="SpecialBold"/>
              </w:rPr>
              <w:t xml:space="preserve">report </w:t>
            </w:r>
            <w:r w:rsidRPr="002E26B8">
              <w:t xml:space="preserve">to </w:t>
            </w:r>
            <w:r w:rsidRPr="002E26B8">
              <w:rPr>
                <w:rStyle w:val="SpecialBold"/>
              </w:rPr>
              <w:t>appropriate person</w:t>
            </w:r>
          </w:p>
        </w:tc>
      </w:tr>
      <w:tr w:rsidTr="00D524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7.2</w:t>
            </w:r>
          </w:p>
        </w:tc>
        <w:tc>
          <w:tcPr>
            <w:tcW w:w="51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 xml:space="preserve">Use appropriate communication strategies when older person is expressing their fears and other emotions associated with loss and grief </w:t>
            </w:r>
          </w:p>
        </w:tc>
      </w:tr>
      <w:tr w:rsidTr="00D524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7.3</w:t>
            </w:r>
          </w:p>
        </w:tc>
        <w:tc>
          <w:tcPr>
            <w:tcW w:w="51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Provide older person and/or their support network with information regarding relevant support services as required</w:t>
            </w:r>
          </w:p>
        </w:tc>
      </w:tr>
      <w:tr w:rsidTr="00D524A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8</w:t>
            </w:r>
          </w:p>
        </w:tc>
        <w:tc>
          <w:tcPr>
            <w:tcW w:w="3000" w:type="dxa"/>
            <w:vMerge w:val="restart"/>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Deliver services within a quality framework</w:t>
            </w:r>
          </w:p>
        </w:tc>
        <w:tc>
          <w:tcPr>
            <w:tcW w:w="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8.1</w:t>
            </w:r>
          </w:p>
        </w:tc>
        <w:tc>
          <w:tcPr>
            <w:tcW w:w="51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Identify key aspects of the quality framework and how they link together</w:t>
            </w:r>
          </w:p>
        </w:tc>
      </w:tr>
      <w:tr w:rsidTr="00D524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8.2</w:t>
            </w:r>
          </w:p>
        </w:tc>
        <w:tc>
          <w:tcPr>
            <w:tcW w:w="51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Demonstrate understanding of regulatory/ accreditation quality standards in relation to delivery of services</w:t>
            </w:r>
          </w:p>
        </w:tc>
      </w:tr>
      <w:tr w:rsidTr="00D524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8.3</w:t>
            </w:r>
          </w:p>
        </w:tc>
        <w:tc>
          <w:tcPr>
            <w:tcW w:w="51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Ensure work practices reflect the organisation's policies and procedures</w:t>
            </w:r>
          </w:p>
        </w:tc>
      </w:tr>
      <w:tr w:rsidTr="00D524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8.4</w:t>
            </w:r>
          </w:p>
        </w:tc>
        <w:tc>
          <w:tcPr>
            <w:tcW w:w="51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Complete documentation that feeds into the quality system</w:t>
            </w:r>
          </w:p>
        </w:tc>
      </w:tr>
      <w:tr w:rsidTr="00D524A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8.5</w:t>
            </w:r>
          </w:p>
        </w:tc>
        <w:tc>
          <w:tcPr>
            <w:tcW w:w="5100" w:type="dxa"/>
            <w:tcBorders>
              <w:top w:val="nil"/>
              <w:left w:val="nil"/>
              <w:bottom w:val="nil"/>
              <w:right w:val="nil"/>
            </w:tcBorders>
            <w:tcMar>
              <w:top w:w="0" w:type="dxa"/>
              <w:left w:w="62" w:type="dxa"/>
              <w:bottom w:w="0" w:type="dxa"/>
              <w:right w:w="62" w:type="dxa"/>
            </w:tcMar>
          </w:tcPr>
          <w:p w:rsidR="00000000" w:rsidRPr="002E26B8" w:rsidP="002E26B8">
            <w:pPr>
              <w:pStyle w:val="BodyText"/>
            </w:pPr>
            <w:r w:rsidRPr="002E26B8">
              <w:t>Participate in quality improvement activities</w:t>
            </w:r>
          </w:p>
        </w:tc>
      </w:tr>
    </w:tbl>
    <w:p w:rsidR="00000000" w:rsidRPr="002E26B8" w:rsidP="002E26B8">
      <w:pPr>
        <w:pStyle w:val="BodyText"/>
      </w:pPr>
    </w:p>
    <w:p w:rsidR="00000000" w:rsidRPr="002E26B8" w:rsidP="002E26B8">
      <w:pPr>
        <w:pStyle w:val="AllowPageBreak"/>
      </w:pPr>
    </w:p>
    <w:p w:rsidR="00000000" w:rsidRPr="002E26B8" w:rsidP="002E26B8">
      <w:pPr>
        <w:pStyle w:val="Heading1"/>
      </w:pPr>
      <w:bookmarkStart w:id="9" w:name="O_312938"/>
      <w:bookmarkEnd w:id="9"/>
      <w:r w:rsidRPr="002E26B8">
        <w:t>Required Skills and Knowledge</w:t>
      </w:r>
    </w:p>
    <w:tbl>
      <w:tblPr>
        <w:tblW w:w="0" w:type="auto"/>
        <w:tblLayout w:type="fixed"/>
        <w:tblCellMar>
          <w:left w:w="62" w:type="dxa"/>
          <w:right w:w="62" w:type="dxa"/>
        </w:tblCellMar>
        <w:tblLook w:val="0000"/>
      </w:tblPr>
      <w:tblGrid>
        <w:gridCol w:w="9000"/>
      </w:tblGrid>
      <w:tr w:rsidTr="00D524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p>
        </w:tc>
      </w:tr>
      <w:tr w:rsidTr="00D524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p>
        </w:tc>
      </w:tr>
      <w:tr w:rsidTr="00D524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 xml:space="preserve">This describes the essential skills and knowledge and their level required for this unit. </w:t>
            </w:r>
          </w:p>
        </w:tc>
      </w:tr>
      <w:tr w:rsidTr="00D524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p>
        </w:tc>
      </w:tr>
      <w:tr w:rsidTr="00D524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E26B8" w:rsidP="002E26B8">
            <w:pPr>
              <w:pStyle w:val="BodyText"/>
            </w:pPr>
            <w:r w:rsidRPr="002E26B8">
              <w:rPr>
                <w:rStyle w:val="SpecialBold"/>
              </w:rPr>
              <w:t>Essential knowledge</w:t>
            </w:r>
            <w:r w:rsidRPr="002E26B8">
              <w:t>:</w:t>
            </w:r>
          </w:p>
          <w:p w:rsidR="00000000" w:rsidRPr="002E26B8" w:rsidP="002E26B8">
            <w:pPr>
              <w:pStyle w:val="BodyText"/>
            </w:pPr>
            <w:r w:rsidRPr="002E26B8">
              <w:t>The candidate must be able to demonstrate essential knowledge required to effectively perform task skills; task management skills; contingency management skills and job/role environment skills as outlined in elements and performance criteria of this unit</w:t>
            </w:r>
          </w:p>
          <w:p w:rsidR="00000000" w:rsidRPr="002E26B8" w:rsidP="002E26B8">
            <w:pPr>
              <w:pStyle w:val="BodyText"/>
            </w:pPr>
            <w:r w:rsidRPr="002E26B8">
              <w:t>T</w:t>
            </w:r>
            <w:r w:rsidRPr="002E26B8">
              <w:t>hese include knowledge of:</w:t>
            </w:r>
          </w:p>
          <w:p w:rsidR="00000000" w:rsidRPr="002E26B8" w:rsidP="002E26B8">
            <w:pPr>
              <w:pStyle w:val="BodyText"/>
            </w:pPr>
            <w:r w:rsidRPr="002E26B8">
              <w:t xml:space="preserve">Own work role and responsibilities </w:t>
            </w:r>
          </w:p>
          <w:p w:rsidR="00000000" w:rsidRPr="002E26B8" w:rsidP="002E26B8">
            <w:pPr>
              <w:pStyle w:val="BodyText"/>
            </w:pPr>
            <w:r w:rsidRPr="002E26B8">
              <w:t>Principles of access, equity and client rights when working in the aged care sector</w:t>
            </w:r>
          </w:p>
          <w:p w:rsidR="00000000" w:rsidRPr="002E26B8" w:rsidP="002E26B8">
            <w:pPr>
              <w:pStyle w:val="BodyText"/>
            </w:pPr>
            <w:r w:rsidRPr="002E26B8">
              <w:t>Structure and profile of the aged care sector</w:t>
            </w:r>
          </w:p>
          <w:p w:rsidR="00000000" w:rsidRPr="002E26B8" w:rsidP="002E26B8">
            <w:pPr>
              <w:pStyle w:val="BodyText"/>
            </w:pPr>
            <w:r w:rsidRPr="002E26B8">
              <w:t>Relevant policies, protocols of the organisation re unit conten</w:t>
            </w:r>
            <w:r w:rsidRPr="002E26B8">
              <w:t>t and work role</w:t>
            </w:r>
          </w:p>
          <w:p w:rsidR="00000000" w:rsidRPr="002E26B8" w:rsidP="002E26B8">
            <w:pPr>
              <w:pStyle w:val="BodyText"/>
            </w:pPr>
            <w:r w:rsidRPr="002E26B8">
              <w:t xml:space="preserve">Legislation, regulations and policies relevant to work in the aged care sector, including:   </w:t>
            </w:r>
          </w:p>
          <w:p w:rsidR="00000000" w:rsidRPr="002E26B8" w:rsidP="002E26B8">
            <w:pPr>
              <w:pStyle w:val="BodyText"/>
            </w:pPr>
            <w:r w:rsidRPr="002E26B8">
              <w:t>settings such as residential and home and community care</w:t>
            </w:r>
          </w:p>
          <w:p w:rsidR="00000000" w:rsidRPr="002E26B8" w:rsidP="002E26B8">
            <w:pPr>
              <w:pStyle w:val="BodyText"/>
            </w:pPr>
            <w:r w:rsidRPr="002E26B8">
              <w:t>issues such as elder abuse, drug administration and access and equity</w:t>
            </w:r>
          </w:p>
          <w:p w:rsidR="00000000" w:rsidRPr="002E26B8" w:rsidP="002E26B8">
            <w:pPr>
              <w:pStyle w:val="BodyText"/>
            </w:pPr>
          </w:p>
          <w:p w:rsidR="00000000" w:rsidRPr="002E26B8" w:rsidP="002E26B8">
            <w:pPr>
              <w:pStyle w:val="BodyText"/>
            </w:pPr>
            <w:r w:rsidRPr="002E26B8">
              <w:t>Understanding of b</w:t>
            </w:r>
            <w:r w:rsidRPr="002E26B8">
              <w:t xml:space="preserve">asic quality management principles such as: people, paper and processes, 'Plan Do Check Act cycle'  </w:t>
            </w:r>
          </w:p>
          <w:p w:rsidR="00000000" w:rsidRPr="002E26B8" w:rsidP="002E26B8">
            <w:pPr>
              <w:pStyle w:val="BodyText"/>
            </w:pPr>
            <w:r w:rsidRPr="002E26B8">
              <w:t>Overview of applicable accreditation or quality standards required by an external regulatory, accreditation or funding body</w:t>
            </w:r>
          </w:p>
          <w:p w:rsidR="00000000" w:rsidRPr="002E26B8" w:rsidP="002E26B8">
            <w:pPr>
              <w:pStyle w:val="BodyText"/>
            </w:pPr>
            <w:r w:rsidRPr="002E26B8">
              <w:t>Knowledge of quality monitoring activities such as audits, collection of data, visits by external bodies</w:t>
            </w:r>
          </w:p>
          <w:p w:rsidR="00000000" w:rsidRPr="002E26B8" w:rsidP="002E26B8">
            <w:pPr>
              <w:pStyle w:val="BodyText"/>
            </w:pPr>
            <w:r w:rsidRPr="002E26B8">
              <w:t>Contemporary issues facing older people in the community</w:t>
            </w:r>
          </w:p>
          <w:p w:rsidR="00000000" w:rsidRPr="002E26B8" w:rsidP="002E26B8">
            <w:pPr>
              <w:pStyle w:val="BodyText"/>
            </w:pPr>
            <w:r w:rsidRPr="002E26B8">
              <w:t>Current service delivery models</w:t>
            </w:r>
          </w:p>
          <w:p w:rsidR="00000000" w:rsidRPr="002E26B8" w:rsidP="002E26B8">
            <w:pPr>
              <w:pStyle w:val="BodyText"/>
            </w:pPr>
            <w:r w:rsidRPr="002E26B8">
              <w:t>Philosophy of various service delivery models</w:t>
            </w:r>
          </w:p>
          <w:p w:rsidR="00000000" w:rsidRPr="002E26B8" w:rsidP="002E26B8">
            <w:pPr>
              <w:pStyle w:val="BodyText"/>
            </w:pPr>
            <w:r w:rsidRPr="002E26B8">
              <w:t>Factors influenc</w:t>
            </w:r>
            <w:r w:rsidRPr="002E26B8">
              <w:t>ing service delivery models in the sector</w:t>
            </w:r>
          </w:p>
          <w:p w:rsidR="00000000" w:rsidRPr="002E26B8" w:rsidP="002E26B8">
            <w:pPr>
              <w:pStyle w:val="BodyText"/>
            </w:pPr>
            <w:r w:rsidRPr="002E26B8">
              <w:t>Ageing demographics</w:t>
            </w:r>
          </w:p>
          <w:p w:rsidR="00000000" w:rsidRPr="002E26B8" w:rsidP="002E26B8">
            <w:pPr>
              <w:pStyle w:val="BodyText"/>
            </w:pPr>
            <w:r w:rsidRPr="002E26B8">
              <w:t xml:space="preserve">Understanding of the ageing process and related physiological/psychological changes </w:t>
            </w:r>
          </w:p>
          <w:p w:rsidR="00000000" w:rsidRPr="002E26B8" w:rsidP="002E26B8">
            <w:pPr>
              <w:pStyle w:val="BodyText"/>
            </w:pPr>
            <w:r w:rsidRPr="002E26B8">
              <w:t xml:space="preserve">Foundation knowledge of common physiological, chronic and age-related conditions such as:   </w:t>
            </w:r>
          </w:p>
          <w:p w:rsidR="00000000" w:rsidRPr="002E26B8" w:rsidP="002E26B8">
            <w:pPr>
              <w:pStyle w:val="BodyText"/>
            </w:pPr>
            <w:r w:rsidRPr="002E26B8">
              <w:t>arthritis and ot</w:t>
            </w:r>
            <w:r w:rsidRPr="002E26B8">
              <w:t>her musculoskeletal problems</w:t>
            </w:r>
          </w:p>
          <w:p w:rsidR="00000000" w:rsidRPr="002E26B8" w:rsidP="002E26B8">
            <w:pPr>
              <w:pStyle w:val="BodyText"/>
            </w:pPr>
            <w:r w:rsidRPr="002E26B8">
              <w:t xml:space="preserve">depression </w:t>
            </w:r>
          </w:p>
          <w:p w:rsidR="00000000" w:rsidRPr="002E26B8" w:rsidP="002E26B8">
            <w:pPr>
              <w:pStyle w:val="BodyText"/>
            </w:pPr>
            <w:r w:rsidRPr="002E26B8">
              <w:t>diabetes</w:t>
            </w:r>
          </w:p>
          <w:p w:rsidR="00000000" w:rsidRPr="002E26B8" w:rsidP="002E26B8">
            <w:pPr>
              <w:pStyle w:val="BodyText"/>
            </w:pPr>
            <w:r w:rsidRPr="002E26B8">
              <w:t>frailty and deconditioning</w:t>
            </w:r>
          </w:p>
          <w:p w:rsidR="00000000" w:rsidRPr="002E26B8" w:rsidP="002E26B8">
            <w:pPr>
              <w:pStyle w:val="BodyText"/>
            </w:pPr>
            <w:r w:rsidRPr="002E26B8">
              <w:t xml:space="preserve">heart and lung disease </w:t>
            </w:r>
          </w:p>
          <w:p w:rsidR="00000000" w:rsidRPr="002E26B8" w:rsidP="002E26B8">
            <w:pPr>
              <w:pStyle w:val="BodyText"/>
            </w:pPr>
            <w:r w:rsidRPr="002E26B8">
              <w:t>incontinence</w:t>
            </w:r>
          </w:p>
          <w:p w:rsidR="00000000" w:rsidRPr="002E26B8" w:rsidP="002E26B8">
            <w:pPr>
              <w:pStyle w:val="BodyText"/>
            </w:pPr>
            <w:r w:rsidRPr="002E26B8">
              <w:t>neurological disorders</w:t>
            </w:r>
          </w:p>
          <w:p w:rsidR="00000000" w:rsidRPr="002E26B8" w:rsidP="002E26B8">
            <w:pPr>
              <w:pStyle w:val="BodyText"/>
            </w:pPr>
            <w:r w:rsidRPr="002E26B8">
              <w:t>skin disorders including skin cancers</w:t>
            </w:r>
          </w:p>
          <w:p w:rsidR="00000000" w:rsidRPr="002E26B8" w:rsidP="002E26B8">
            <w:pPr>
              <w:pStyle w:val="BodyText"/>
            </w:pPr>
            <w:r w:rsidRPr="002E26B8">
              <w:t>stroke</w:t>
            </w:r>
          </w:p>
          <w:p w:rsidR="00000000" w:rsidRPr="002E26B8" w:rsidP="002E26B8">
            <w:pPr>
              <w:pStyle w:val="BodyText"/>
            </w:pPr>
            <w:r w:rsidRPr="002E26B8">
              <w:t>vascular disease</w:t>
            </w:r>
          </w:p>
          <w:p w:rsidR="00000000" w:rsidRPr="002E26B8" w:rsidP="002E26B8">
            <w:pPr>
              <w:pStyle w:val="BodyText"/>
            </w:pPr>
          </w:p>
          <w:p w:rsidR="00000000" w:rsidRPr="002E26B8" w:rsidP="002E26B8">
            <w:pPr>
              <w:pStyle w:val="BodyText"/>
            </w:pPr>
            <w:r w:rsidRPr="002E26B8">
              <w:t>Understanding attitude, stereotypes and false beliefs as</w:t>
            </w:r>
            <w:r w:rsidRPr="002E26B8">
              <w:t xml:space="preserve">sociated with ageing  </w:t>
            </w:r>
          </w:p>
          <w:p w:rsidR="00000000" w:rsidRPr="002E26B8" w:rsidP="002E26B8">
            <w:pPr>
              <w:pStyle w:val="BodyText"/>
            </w:pPr>
            <w:r w:rsidRPr="002E26B8">
              <w:t>Impact of personal values and attitudes on service delivery</w:t>
            </w:r>
          </w:p>
          <w:p w:rsidR="00000000" w:rsidRPr="002E26B8" w:rsidP="002E26B8">
            <w:pPr>
              <w:pStyle w:val="BodyText"/>
            </w:pPr>
            <w:r w:rsidRPr="002E26B8">
              <w:t>Rights and responsibilities of older people and those working in the aged care sector</w:t>
            </w:r>
          </w:p>
          <w:p w:rsidR="00000000" w:rsidP="002E26B8">
            <w:pPr>
              <w:pStyle w:val="BodyText"/>
              <w:rPr>
                <w:lang w:val="en-NZ"/>
              </w:rPr>
            </w:pPr>
            <w:r w:rsidRPr="002E26B8">
              <w:rPr>
                <w:rStyle w:val="SpecialBold"/>
              </w:rPr>
              <w:t>continued</w:t>
            </w:r>
            <w:r w:rsidRPr="002E26B8">
              <w:t xml:space="preserve"> ... </w:t>
            </w:r>
          </w:p>
        </w:tc>
      </w:tr>
      <w:tr w:rsidTr="00D524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p>
        </w:tc>
      </w:tr>
      <w:tr w:rsidTr="00D524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E26B8" w:rsidP="002E26B8">
            <w:pPr>
              <w:pStyle w:val="BodyText"/>
            </w:pPr>
            <w:r w:rsidRPr="002E26B8">
              <w:rPr>
                <w:rStyle w:val="SpecialBold"/>
              </w:rPr>
              <w:t>Essential knowledge</w:t>
            </w:r>
            <w:r w:rsidRPr="002E26B8">
              <w:t xml:space="preserve"> (</w:t>
            </w:r>
            <w:r w:rsidRPr="002E26B8">
              <w:rPr>
                <w:rStyle w:val="SpecialBold"/>
              </w:rPr>
              <w:t>contd</w:t>
            </w:r>
            <w:r w:rsidRPr="002E26B8">
              <w:t xml:space="preserve">):    </w:t>
            </w:r>
          </w:p>
          <w:p w:rsidR="00000000" w:rsidRPr="002E26B8" w:rsidP="002E26B8">
            <w:pPr>
              <w:pStyle w:val="BodyText"/>
            </w:pPr>
            <w:r w:rsidRPr="002E26B8">
              <w:t>Physical and psychosocial aspects of ageing in supporting older people to maintain their quality of life</w:t>
            </w:r>
          </w:p>
          <w:p w:rsidR="00000000" w:rsidRPr="002E26B8" w:rsidP="002E26B8">
            <w:pPr>
              <w:pStyle w:val="BodyText"/>
            </w:pPr>
            <w:r w:rsidRPr="002E26B8">
              <w:t>Impact of 'normal' ageing on the older person</w:t>
            </w:r>
          </w:p>
          <w:p w:rsidR="00000000" w:rsidRPr="002E26B8" w:rsidP="002E26B8">
            <w:pPr>
              <w:pStyle w:val="BodyText"/>
            </w:pPr>
            <w:r w:rsidRPr="002E26B8">
              <w:t>Stages of loss and grief and impact of ageing on person's experiences of loss and grief</w:t>
            </w:r>
          </w:p>
          <w:p w:rsidR="00000000" w:rsidRPr="002E26B8" w:rsidP="002E26B8">
            <w:pPr>
              <w:pStyle w:val="BodyText"/>
            </w:pPr>
            <w:r w:rsidRPr="002E26B8">
              <w:t>Overview of the m</w:t>
            </w:r>
            <w:r w:rsidRPr="002E26B8">
              <w:t>anifestations and presentation of common problems associated with ageing</w:t>
            </w:r>
          </w:p>
          <w:p w:rsidR="00000000" w:rsidRPr="002E26B8" w:rsidP="002E26B8">
            <w:pPr>
              <w:pStyle w:val="BodyText"/>
            </w:pPr>
            <w:r w:rsidRPr="002E26B8">
              <w:t>Relevant care needs and strategies related to common problems associated with ageing</w:t>
            </w:r>
          </w:p>
          <w:p w:rsidR="00000000" w:rsidRPr="002E26B8" w:rsidP="002E26B8">
            <w:pPr>
              <w:pStyle w:val="BodyText"/>
            </w:pPr>
            <w:r w:rsidRPr="002E26B8">
              <w:t>Role of carers</w:t>
            </w:r>
          </w:p>
          <w:p w:rsidR="00000000" w:rsidRPr="002E26B8" w:rsidP="002E26B8">
            <w:pPr>
              <w:pStyle w:val="BodyText"/>
            </w:pPr>
            <w:r w:rsidRPr="002E26B8">
              <w:t>Principles of empowerment and disempowerment</w:t>
            </w:r>
          </w:p>
          <w:p w:rsidR="00000000" w:rsidRPr="002E26B8" w:rsidP="002E26B8">
            <w:pPr>
              <w:pStyle w:val="BodyText"/>
            </w:pPr>
            <w:r w:rsidRPr="002E26B8">
              <w:t xml:space="preserve">The social model of disability </w:t>
            </w:r>
          </w:p>
          <w:p w:rsidR="00000000" w:rsidRPr="002E26B8" w:rsidP="002E26B8">
            <w:pPr>
              <w:pStyle w:val="BodyText"/>
            </w:pPr>
            <w:r w:rsidRPr="002E26B8">
              <w:t>The im</w:t>
            </w:r>
            <w:r w:rsidRPr="002E26B8">
              <w:t>pact of social devaluation on an individual's quality of life</w:t>
            </w:r>
          </w:p>
          <w:p w:rsidR="00000000" w:rsidRPr="002E26B8" w:rsidP="002E26B8">
            <w:pPr>
              <w:pStyle w:val="BodyText"/>
            </w:pPr>
            <w:r w:rsidRPr="002E26B8">
              <w:t>Competency and image enhancement as a means of addressing devaluation</w:t>
            </w:r>
          </w:p>
          <w:p w:rsidR="00000000" w:rsidRPr="002E26B8" w:rsidP="002E26B8">
            <w:pPr>
              <w:pStyle w:val="BodyText"/>
            </w:pPr>
            <w:r w:rsidRPr="002E26B8">
              <w:t>Principles and practices of confidentiality and privacy</w:t>
            </w:r>
          </w:p>
          <w:p w:rsidR="00000000" w:rsidRPr="002E26B8" w:rsidP="002E26B8">
            <w:pPr>
              <w:pStyle w:val="BodyText"/>
            </w:pPr>
            <w:r w:rsidRPr="002E26B8">
              <w:t>Strategies for supporting an older person and/or their advocate/s to</w:t>
            </w:r>
            <w:r w:rsidRPr="002E26B8">
              <w:t xml:space="preserve"> exercise their rights</w:t>
            </w:r>
          </w:p>
          <w:p w:rsidR="00000000" w:rsidRPr="002E26B8" w:rsidP="002E26B8">
            <w:pPr>
              <w:pStyle w:val="BodyText"/>
            </w:pPr>
            <w:r w:rsidRPr="002E26B8">
              <w:t>Strategies for managing complaints</w:t>
            </w:r>
          </w:p>
          <w:p w:rsidR="00000000" w:rsidP="002E26B8">
            <w:pPr>
              <w:pStyle w:val="BodyText"/>
              <w:rPr>
                <w:lang w:val="en-NZ"/>
              </w:rPr>
            </w:pPr>
            <w:r w:rsidRPr="002E26B8">
              <w:t xml:space="preserve">Basic knowledge and application of quality principles and accreditation standards in aged care and home and community care </w:t>
            </w:r>
          </w:p>
        </w:tc>
      </w:tr>
      <w:tr w:rsidTr="00D524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p>
        </w:tc>
      </w:tr>
      <w:tr w:rsidTr="00D524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E26B8" w:rsidP="002E26B8">
            <w:pPr>
              <w:pStyle w:val="BodyText"/>
            </w:pPr>
            <w:r w:rsidRPr="002E26B8">
              <w:rPr>
                <w:rStyle w:val="SpecialBold"/>
              </w:rPr>
              <w:t>Essential skills</w:t>
            </w:r>
            <w:r w:rsidRPr="002E26B8">
              <w:t>:</w:t>
            </w:r>
          </w:p>
          <w:p w:rsidR="00000000" w:rsidRPr="002E26B8" w:rsidP="002E26B8">
            <w:pPr>
              <w:pStyle w:val="BodyText"/>
            </w:pPr>
            <w:r w:rsidRPr="002E26B8">
              <w:t>It is critical that the candidate demonstrate the abi</w:t>
            </w:r>
            <w:r w:rsidRPr="002E26B8">
              <w:t>lity to:</w:t>
            </w:r>
          </w:p>
          <w:p w:rsidR="00000000" w:rsidRPr="002E26B8" w:rsidP="002E26B8">
            <w:pPr>
              <w:pStyle w:val="BodyText"/>
            </w:pPr>
            <w:r w:rsidRPr="002E26B8">
              <w:t>Follow organisation policies and protocols</w:t>
            </w:r>
          </w:p>
          <w:p w:rsidR="00000000" w:rsidRPr="002E26B8" w:rsidP="002E26B8">
            <w:pPr>
              <w:pStyle w:val="BodyText"/>
            </w:pPr>
            <w:r w:rsidRPr="002E26B8">
              <w:t>Liaise and report to appropriate person/s</w:t>
            </w:r>
          </w:p>
          <w:p w:rsidR="00000000" w:rsidRPr="002E26B8" w:rsidP="002E26B8">
            <w:pPr>
              <w:pStyle w:val="BodyText"/>
            </w:pPr>
            <w:r w:rsidRPr="002E26B8">
              <w:t xml:space="preserve">Adhere to own work role and responsibilities </w:t>
            </w:r>
          </w:p>
          <w:p w:rsidR="00000000" w:rsidRPr="002E26B8" w:rsidP="002E26B8">
            <w:pPr>
              <w:pStyle w:val="BodyText"/>
            </w:pPr>
            <w:r w:rsidRPr="002E26B8">
              <w:t>Apply the principles of access, equity and client rights when working in the aged care sector</w:t>
            </w:r>
          </w:p>
          <w:p w:rsidR="00000000" w:rsidRPr="002E26B8" w:rsidP="002E26B8">
            <w:pPr>
              <w:pStyle w:val="BodyText"/>
            </w:pPr>
            <w:r w:rsidRPr="002E26B8">
              <w:t>Adopt a non-ageist and accepting attitude when working with older people</w:t>
            </w:r>
          </w:p>
          <w:p w:rsidR="00000000" w:rsidRPr="002E26B8" w:rsidP="002E26B8">
            <w:pPr>
              <w:pStyle w:val="BodyText"/>
            </w:pPr>
            <w:r w:rsidRPr="002E26B8">
              <w:t>Make informed observations and report appropriately in line with work role</w:t>
            </w:r>
          </w:p>
          <w:p w:rsidR="00000000" w:rsidRPr="002E26B8" w:rsidP="002E26B8">
            <w:pPr>
              <w:pStyle w:val="BodyText"/>
            </w:pPr>
            <w:r w:rsidRPr="002E26B8">
              <w:t>Recognise signs of deteriorating health and function and refer to supervisor and appropriate health professi</w:t>
            </w:r>
            <w:r w:rsidRPr="002E26B8">
              <w:t>onal</w:t>
            </w:r>
          </w:p>
          <w:p w:rsidR="00000000" w:rsidRPr="002E26B8" w:rsidP="002E26B8">
            <w:pPr>
              <w:pStyle w:val="BodyText"/>
            </w:pPr>
            <w:r w:rsidRPr="002E26B8">
              <w:t>Record information and complete documentation accurately and in an timely manner</w:t>
            </w:r>
          </w:p>
          <w:p w:rsidR="00000000" w:rsidRPr="002E26B8" w:rsidP="002E26B8">
            <w:pPr>
              <w:pStyle w:val="BodyText"/>
            </w:pPr>
            <w:r w:rsidRPr="002E26B8">
              <w:t>Identify and respond to opportunities for improvement within the organisation's quality system</w:t>
            </w:r>
          </w:p>
          <w:p w:rsidR="00000000" w:rsidRPr="002E26B8" w:rsidP="002E26B8">
            <w:pPr>
              <w:pStyle w:val="BodyText"/>
            </w:pPr>
            <w:r w:rsidRPr="002E26B8">
              <w:t>In addition, the candidate must be able to demonstrate relevant task skills</w:t>
            </w:r>
            <w:r w:rsidRPr="002E26B8">
              <w:t>; task management skills; contingency management skills and job/role environment skills</w:t>
            </w:r>
          </w:p>
          <w:p w:rsidR="00000000" w:rsidRPr="002E26B8" w:rsidP="002E26B8">
            <w:pPr>
              <w:pStyle w:val="BodyText"/>
            </w:pPr>
            <w:r w:rsidRPr="002E26B8">
              <w:t>These include the ability to:</w:t>
            </w:r>
          </w:p>
          <w:p w:rsidR="00000000" w:rsidRPr="002E26B8" w:rsidP="002E26B8">
            <w:pPr>
              <w:pStyle w:val="BodyText"/>
            </w:pPr>
            <w:r w:rsidRPr="002E26B8">
              <w:t>Apply knowledge of physical and psychosocial aspects of ageing in supporting older people</w:t>
            </w:r>
          </w:p>
          <w:p w:rsidR="00000000" w:rsidRPr="002E26B8" w:rsidP="002E26B8">
            <w:pPr>
              <w:pStyle w:val="BodyText"/>
            </w:pPr>
            <w:r w:rsidRPr="002E26B8">
              <w:t>Apply reading and writing skills required to ful</w:t>
            </w:r>
            <w:r w:rsidRPr="002E26B8">
              <w:t>fil work role in a safe manner and as specified by the organisation/service This requires a level of skill that enables the worker to follow work-related instructions and directions and the ability to seek clarification and comments from supervisors, clien</w:t>
            </w:r>
            <w:r w:rsidRPr="002E26B8">
              <w:t>ts and colleagues Industry work roles will require workers to possess a literacy level that will enable them to interpret international safety signs, read client's service delivery plans, make notations in client records and complete workplace forms and re</w:t>
            </w:r>
            <w:r w:rsidRPr="002E26B8">
              <w:t>cords</w:t>
            </w:r>
          </w:p>
          <w:p w:rsidR="00000000" w:rsidRPr="002E26B8" w:rsidP="002E26B8">
            <w:pPr>
              <w:pStyle w:val="BodyText"/>
            </w:pPr>
            <w:r w:rsidRPr="002E26B8">
              <w:t>Apply oral communication skills required to fulfil work role in a safe manner and as specified by the organisation This requires a level of skill that enables the worker to follow work-related instructions and directions and the ability to seek clari</w:t>
            </w:r>
            <w:r w:rsidRPr="002E26B8">
              <w:t>fication and comments from supervisors, clients and colleagues Industry work roles will require workers to possess oral communication skills that will enable them to ask questions, clarify understanding, recognise and interpret non-verbal cues, provide inf</w:t>
            </w:r>
            <w:r w:rsidRPr="002E26B8">
              <w:t>ormation and express encouragement</w:t>
            </w:r>
          </w:p>
          <w:p w:rsidR="00000000" w:rsidRPr="002E26B8" w:rsidP="002E26B8">
            <w:pPr>
              <w:pStyle w:val="BodyText"/>
            </w:pPr>
            <w:r w:rsidRPr="002E26B8">
              <w:t>Apply numeracy skills required to fulfil work role in a safe manner and as specified by the organisation Industry work roles will require workers to be able to perform basic mathematical functions, such as addition and su</w:t>
            </w:r>
            <w:r w:rsidRPr="002E26B8">
              <w:t>btraction up to three digit numbers and multiplication and division of single and double-digit numbers</w:t>
            </w:r>
          </w:p>
          <w:p w:rsidR="00000000" w:rsidRPr="002E26B8" w:rsidP="002E26B8">
            <w:pPr>
              <w:pStyle w:val="BodyText"/>
            </w:pPr>
            <w:r w:rsidRPr="002E26B8">
              <w:t>Apply basic problem solving skills to resolve problems within organisation protocols</w:t>
            </w:r>
          </w:p>
          <w:p w:rsidR="00000000" w:rsidP="002E26B8">
            <w:pPr>
              <w:pStyle w:val="BodyText"/>
              <w:rPr>
                <w:lang w:val="en-NZ"/>
              </w:rPr>
            </w:pPr>
            <w:r w:rsidRPr="002E26B8">
              <w:t>Work effectively with clients, colleagues, supervisors and other ser</w:t>
            </w:r>
            <w:r w:rsidRPr="002E26B8">
              <w:t xml:space="preserve">vices/agencies </w:t>
            </w:r>
          </w:p>
        </w:tc>
      </w:tr>
      <w:tr w:rsidTr="00D524A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E26B8" w:rsidP="002E26B8">
            <w:pPr>
              <w:pStyle w:val="BodyText"/>
            </w:pPr>
          </w:p>
        </w:tc>
      </w:tr>
    </w:tbl>
    <w:p w:rsidR="00000000" w:rsidRPr="002E26B8" w:rsidP="002E26B8">
      <w:pPr>
        <w:pStyle w:val="BodyText"/>
      </w:pPr>
    </w:p>
    <w:p w:rsidR="00000000" w:rsidRPr="002E26B8" w:rsidP="002E26B8">
      <w:pPr>
        <w:pStyle w:val="AllowPageBreak"/>
      </w:pPr>
    </w:p>
    <w:p w:rsidR="00000000" w:rsidRPr="002E26B8" w:rsidP="002E26B8">
      <w:pPr>
        <w:pStyle w:val="Heading1"/>
      </w:pPr>
      <w:bookmarkStart w:id="10" w:name="O_312937"/>
      <w:bookmarkEnd w:id="10"/>
      <w:r w:rsidRPr="002E26B8">
        <w:t>Evidence Guide</w:t>
      </w:r>
    </w:p>
    <w:tbl>
      <w:tblPr>
        <w:tblW w:w="0" w:type="auto"/>
        <w:tblLayout w:type="fixed"/>
        <w:tblCellMar>
          <w:left w:w="62" w:type="dxa"/>
          <w:right w:w="62" w:type="dxa"/>
        </w:tblCellMar>
        <w:tblLook w:val="0000"/>
      </w:tblPr>
      <w:tblGrid>
        <w:gridCol w:w="4500"/>
        <w:gridCol w:w="4500"/>
      </w:tblGrid>
      <w:tr w:rsidTr="00D524A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E26B8">
            <w:pPr>
              <w:pStyle w:val="BodyText"/>
              <w:rPr>
                <w:lang w:val="en-NZ"/>
              </w:rPr>
            </w:pPr>
          </w:p>
        </w:tc>
      </w:tr>
      <w:tr w:rsidTr="00D524A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E26B8">
            <w:pPr>
              <w:pStyle w:val="BodyText"/>
              <w:rPr>
                <w:lang w:val="en-NZ"/>
              </w:rPr>
            </w:pPr>
          </w:p>
        </w:tc>
      </w:tr>
      <w:tr w:rsidTr="00D524A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 xml:space="preserve">The evidence guide provides advice on assessment and must be read in conjunction with the Performance Criteria, Required Skills and Knowledge, </w:t>
            </w:r>
            <w:r w:rsidRPr="002E26B8">
              <w:t xml:space="preserve">the Range Statement and the Assessment Guidelines for this Training Package. </w:t>
            </w:r>
          </w:p>
        </w:tc>
      </w:tr>
      <w:tr w:rsidTr="00D524A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E26B8">
            <w:pPr>
              <w:pStyle w:val="BodyText"/>
              <w:rPr>
                <w:lang w:val="en-NZ"/>
              </w:rPr>
            </w:pPr>
          </w:p>
        </w:tc>
      </w:tr>
      <w:tr w:rsidTr="00D5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rPr>
                <w:rStyle w:val="SpecialBold"/>
              </w:rPr>
              <w:t>Critical aspects for assessment and evidence required to demonstrate this unit of competency</w:t>
            </w:r>
            <w:r w:rsidRPr="002E26B8">
              <w:t xml:space="preserve">:   </w:t>
            </w:r>
          </w:p>
        </w:tc>
        <w:tc>
          <w:tcPr>
            <w:tcW w:w="4500" w:type="dxa"/>
            <w:tcBorders>
              <w:top w:val="nil"/>
              <w:left w:val="nil"/>
              <w:bottom w:val="nil"/>
              <w:right w:val="nil"/>
            </w:tcBorders>
            <w:tcMar>
              <w:top w:w="0" w:type="dxa"/>
              <w:left w:w="62" w:type="dxa"/>
              <w:bottom w:w="0" w:type="dxa"/>
              <w:right w:w="62" w:type="dxa"/>
            </w:tcMar>
          </w:tcPr>
          <w:p w:rsidR="00000000" w:rsidRPr="002E26B8" w:rsidP="002E26B8">
            <w:pPr>
              <w:pStyle w:val="BodyText"/>
            </w:pPr>
            <w:r w:rsidRPr="002E26B8">
              <w:t>The individual being assessed must provide evidence of specified essential k</w:t>
            </w:r>
            <w:r w:rsidRPr="002E26B8">
              <w:t>nowledge as well as skills</w:t>
            </w:r>
          </w:p>
          <w:p w:rsidR="00000000" w:rsidRPr="002E26B8" w:rsidP="002E26B8">
            <w:pPr>
              <w:pStyle w:val="BodyText"/>
            </w:pPr>
            <w:r w:rsidRPr="002E26B8">
              <w:t>This unit will be most appropriately assessed in the workplace or in a simulated workplace and under the normal range of workplace conditions</w:t>
            </w:r>
          </w:p>
          <w:p w:rsidR="00000000" w:rsidRPr="002E26B8" w:rsidP="002E26B8">
            <w:pPr>
              <w:pStyle w:val="BodyText"/>
            </w:pPr>
            <w:r w:rsidRPr="002E26B8">
              <w:t>It is recommended that assessment or information for assessment will be conducted or ga</w:t>
            </w:r>
            <w:r w:rsidRPr="002E26B8">
              <w:t>thered over a period of time and cover the normal range of workplace situations and settings</w:t>
            </w:r>
          </w:p>
          <w:p w:rsidR="00000000" w:rsidP="002E26B8">
            <w:pPr>
              <w:pStyle w:val="BodyText"/>
              <w:rPr>
                <w:lang w:val="en-NZ"/>
              </w:rPr>
            </w:pPr>
            <w:r w:rsidRPr="002E26B8">
              <w:t>Where, for reasons of safety, space, or access to equipment and resources, assessment takes place away from the workplace, the assessment environment should repres</w:t>
            </w:r>
            <w:r w:rsidRPr="002E26B8">
              <w:t xml:space="preserve">ent workplace conditions as closely as possible </w:t>
            </w:r>
          </w:p>
        </w:tc>
      </w:tr>
      <w:tr w:rsidTr="00D5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p>
        </w:tc>
      </w:tr>
      <w:tr w:rsidTr="00D5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rPr>
                <w:rStyle w:val="SpecialBold"/>
              </w:rPr>
              <w:t>Access and equity considerations</w:t>
            </w:r>
            <w:r w:rsidRPr="002E26B8">
              <w:t xml:space="preserve">: </w:t>
            </w:r>
          </w:p>
        </w:tc>
        <w:tc>
          <w:tcPr>
            <w:tcW w:w="4500" w:type="dxa"/>
            <w:tcBorders>
              <w:top w:val="nil"/>
              <w:left w:val="nil"/>
              <w:bottom w:val="nil"/>
              <w:right w:val="nil"/>
            </w:tcBorders>
            <w:tcMar>
              <w:top w:w="0" w:type="dxa"/>
              <w:left w:w="62" w:type="dxa"/>
              <w:bottom w:w="0" w:type="dxa"/>
              <w:right w:w="62" w:type="dxa"/>
            </w:tcMar>
          </w:tcPr>
          <w:p w:rsidR="00000000" w:rsidRPr="002E26B8" w:rsidP="002E26B8">
            <w:pPr>
              <w:pStyle w:val="BodyText"/>
            </w:pPr>
            <w:r w:rsidRPr="002E26B8">
              <w:t>All workers in community services should be aware of access, equity and human rights issues in relation to their own area of work</w:t>
            </w:r>
          </w:p>
          <w:p w:rsidR="00000000" w:rsidRPr="002E26B8" w:rsidP="002E26B8">
            <w:pPr>
              <w:pStyle w:val="BodyText"/>
            </w:pPr>
            <w:r w:rsidRPr="002E26B8">
              <w:t xml:space="preserve">All workers should develop their ability to work in a culturally diverse environment </w:t>
            </w:r>
          </w:p>
          <w:p w:rsidR="00000000" w:rsidRPr="002E26B8" w:rsidP="002E26B8">
            <w:pPr>
              <w:pStyle w:val="BodyText"/>
            </w:pPr>
            <w:r w:rsidRPr="002E26B8">
              <w:t>In recognition of particular issues facing Aboriginal and Torres Strait Islander communities, workers should be aware of cultural, historical and current issues impacting</w:t>
            </w:r>
            <w:r w:rsidRPr="002E26B8">
              <w:t xml:space="preserve"> on Aboriginal and Torres Strait Islander people</w:t>
            </w:r>
          </w:p>
          <w:p w:rsidR="00000000" w:rsidP="002E26B8">
            <w:pPr>
              <w:pStyle w:val="BodyText"/>
              <w:rPr>
                <w:lang w:val="en-NZ"/>
              </w:rPr>
            </w:pPr>
            <w:r w:rsidRPr="002E26B8">
              <w:t xml:space="preserve">Assessors and trainers must take into account relevant access and equity issues, in particular relating to factors impacting on Aboriginal and/or Torres Strait Islander clients and communities </w:t>
            </w:r>
          </w:p>
        </w:tc>
      </w:tr>
      <w:tr w:rsidTr="00D5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p>
        </w:tc>
      </w:tr>
      <w:tr w:rsidTr="00D5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rPr>
                <w:rStyle w:val="SpecialBold"/>
              </w:rPr>
              <w:t>Context o</w:t>
            </w:r>
            <w:r w:rsidRPr="002E26B8">
              <w:rPr>
                <w:rStyle w:val="SpecialBold"/>
              </w:rPr>
              <w:t>f and specific resources for assessment</w:t>
            </w:r>
            <w:r w:rsidRPr="002E26B8">
              <w:t xml:space="preserve">:   </w:t>
            </w:r>
          </w:p>
        </w:tc>
        <w:tc>
          <w:tcPr>
            <w:tcW w:w="4500" w:type="dxa"/>
            <w:tcBorders>
              <w:top w:val="nil"/>
              <w:left w:val="nil"/>
              <w:bottom w:val="nil"/>
              <w:right w:val="nil"/>
            </w:tcBorders>
            <w:tcMar>
              <w:top w:w="0" w:type="dxa"/>
              <w:left w:w="62" w:type="dxa"/>
              <w:bottom w:w="0" w:type="dxa"/>
              <w:right w:w="62" w:type="dxa"/>
            </w:tcMar>
          </w:tcPr>
          <w:p w:rsidR="00000000" w:rsidRPr="002E26B8" w:rsidP="002E26B8">
            <w:pPr>
              <w:pStyle w:val="BodyText"/>
            </w:pPr>
            <w:r w:rsidRPr="002E26B8">
              <w:t>This unit can be assessed independently, however holistic assessment practice with other community services units of competency is encouraged</w:t>
            </w:r>
          </w:p>
          <w:p w:rsidR="00000000" w:rsidRPr="002E26B8" w:rsidP="002E26B8">
            <w:pPr>
              <w:pStyle w:val="BodyText"/>
            </w:pPr>
            <w:r w:rsidRPr="002E26B8">
              <w:t xml:space="preserve">Resources required for assessment include:   </w:t>
            </w:r>
          </w:p>
          <w:p w:rsidR="00000000" w:rsidRPr="002E26B8" w:rsidP="002E26B8">
            <w:pPr>
              <w:pStyle w:val="BodyText"/>
            </w:pPr>
            <w:r w:rsidRPr="002E26B8">
              <w:t>access to appropriate wo</w:t>
            </w:r>
            <w:r w:rsidRPr="002E26B8">
              <w:t>rkplace where assessment can take place</w:t>
            </w:r>
          </w:p>
          <w:p w:rsidR="00000000" w:rsidRPr="002E26B8" w:rsidP="002E26B8">
            <w:pPr>
              <w:pStyle w:val="BodyText"/>
            </w:pPr>
            <w:r w:rsidRPr="002E26B8">
              <w:t>simulation of realistic workplace setting for assessment</w:t>
            </w:r>
          </w:p>
          <w:p w:rsidR="00000000" w:rsidP="002E26B8">
            <w:pPr>
              <w:pStyle w:val="BodyText"/>
              <w:rPr>
                <w:lang w:val="en-NZ"/>
              </w:rPr>
            </w:pPr>
            <w:r w:rsidRPr="002E26B8">
              <w:t xml:space="preserve">relevant organisation policy, protocols and procedures  </w:t>
            </w:r>
          </w:p>
        </w:tc>
      </w:tr>
      <w:tr w:rsidTr="00D5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p>
        </w:tc>
      </w:tr>
      <w:tr w:rsidTr="00D5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2E26B8" w:rsidP="002E26B8">
            <w:pPr>
              <w:pStyle w:val="BodyText"/>
            </w:pPr>
            <w:r w:rsidRPr="002E26B8">
              <w:t xml:space="preserve">Observation in the workplace </w:t>
            </w:r>
          </w:p>
          <w:p w:rsidR="00000000" w:rsidRPr="002E26B8" w:rsidP="002E26B8">
            <w:pPr>
              <w:pStyle w:val="BodyText"/>
            </w:pPr>
            <w:r w:rsidRPr="002E26B8">
              <w:t>Written assignments/projects</w:t>
            </w:r>
          </w:p>
          <w:p w:rsidR="00000000" w:rsidRPr="002E26B8" w:rsidP="002E26B8">
            <w:pPr>
              <w:pStyle w:val="BodyText"/>
            </w:pPr>
            <w:r w:rsidRPr="002E26B8">
              <w:t>Case study and scenario analysis</w:t>
            </w:r>
          </w:p>
          <w:p w:rsidR="00000000" w:rsidRPr="002E26B8" w:rsidP="002E26B8">
            <w:pPr>
              <w:pStyle w:val="BodyText"/>
            </w:pPr>
            <w:r w:rsidRPr="002E26B8">
              <w:t>Questioning</w:t>
            </w:r>
          </w:p>
          <w:p w:rsidR="00000000" w:rsidRPr="002E26B8" w:rsidP="002E26B8">
            <w:pPr>
              <w:pStyle w:val="BodyText"/>
            </w:pPr>
            <w:r w:rsidRPr="002E26B8">
              <w:t xml:space="preserve">Role play simulation </w:t>
            </w:r>
          </w:p>
        </w:tc>
      </w:tr>
    </w:tbl>
    <w:p w:rsidR="00000000" w:rsidRPr="002E26B8" w:rsidP="002E26B8">
      <w:pPr>
        <w:pStyle w:val="BodyText"/>
      </w:pPr>
    </w:p>
    <w:p w:rsidR="00000000" w:rsidRPr="002E26B8" w:rsidP="002E26B8">
      <w:pPr>
        <w:pStyle w:val="AllowPageBreak"/>
      </w:pPr>
    </w:p>
    <w:p w:rsidR="00000000" w:rsidRPr="002E26B8" w:rsidP="002E26B8">
      <w:pPr>
        <w:pStyle w:val="Heading1"/>
      </w:pPr>
      <w:bookmarkStart w:id="11" w:name="O_312936"/>
      <w:bookmarkEnd w:id="11"/>
      <w:r w:rsidRPr="002E26B8">
        <w:t>Range Statement</w:t>
      </w:r>
    </w:p>
    <w:tbl>
      <w:tblPr>
        <w:tblW w:w="0" w:type="auto"/>
        <w:tblLayout w:type="fixed"/>
        <w:tblCellMar>
          <w:left w:w="62" w:type="dxa"/>
          <w:right w:w="62" w:type="dxa"/>
        </w:tblCellMar>
        <w:tblLook w:val="0000"/>
      </w:tblPr>
      <w:tblGrid>
        <w:gridCol w:w="4500"/>
        <w:gridCol w:w="4500"/>
      </w:tblGrid>
      <w:tr w:rsidTr="00D524A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rPr>
                <w:rStyle w:val="SpecialBold"/>
              </w:rPr>
              <w:t>RANGE STATEMENT</w:t>
            </w:r>
          </w:p>
        </w:tc>
      </w:tr>
      <w:tr w:rsidTr="00D524A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E26B8">
            <w:pPr>
              <w:pStyle w:val="BodyText"/>
              <w:rPr>
                <w:lang w:val="en-NZ"/>
              </w:rPr>
            </w:pPr>
          </w:p>
        </w:tc>
      </w:tr>
      <w:tr w:rsidTr="00D524A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t>The Range Statement relates to the unit of competency as a whole. It allows for different work environments and situations that may a</w:t>
            </w:r>
            <w:r w:rsidRPr="002E26B8">
              <w:t xml:space="preserve">ffect performance. Add any essential operating conditions that may be present with training and assessment depending on the work situation, needs of the candidate, accessibility of the item, and local industry and regional contexts. </w:t>
            </w:r>
          </w:p>
        </w:tc>
      </w:tr>
      <w:tr w:rsidTr="00D5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p>
        </w:tc>
      </w:tr>
      <w:tr w:rsidTr="00D5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rPr>
                <w:rStyle w:val="SpecialBold"/>
              </w:rPr>
              <w:t>Older people may include</w:t>
            </w:r>
            <w:r w:rsidRPr="002E26B8">
              <w:t xml:space="preserve">: </w:t>
            </w:r>
          </w:p>
        </w:tc>
        <w:tc>
          <w:tcPr>
            <w:tcW w:w="4500" w:type="dxa"/>
            <w:tcBorders>
              <w:top w:val="nil"/>
              <w:left w:val="nil"/>
              <w:bottom w:val="nil"/>
              <w:right w:val="nil"/>
            </w:tcBorders>
            <w:tcMar>
              <w:top w:w="0" w:type="dxa"/>
              <w:left w:w="62" w:type="dxa"/>
              <w:bottom w:w="0" w:type="dxa"/>
              <w:right w:w="62" w:type="dxa"/>
            </w:tcMar>
          </w:tcPr>
          <w:p w:rsidR="00000000" w:rsidRPr="002E26B8" w:rsidP="002E26B8">
            <w:pPr>
              <w:pStyle w:val="BodyText"/>
            </w:pPr>
            <w:r w:rsidRPr="002E26B8">
              <w:t>Individuals living in residential aged care environments</w:t>
            </w:r>
          </w:p>
          <w:p w:rsidR="00000000" w:rsidRPr="002E26B8" w:rsidP="002E26B8">
            <w:pPr>
              <w:pStyle w:val="BodyText"/>
            </w:pPr>
            <w:r w:rsidRPr="002E26B8">
              <w:t>Individuals living in the community</w:t>
            </w:r>
          </w:p>
          <w:p w:rsidR="00000000" w:rsidP="002E26B8">
            <w:pPr>
              <w:pStyle w:val="BodyText"/>
              <w:rPr>
                <w:lang w:val="en-NZ"/>
              </w:rPr>
            </w:pPr>
            <w:r w:rsidRPr="002E26B8">
              <w:t xml:space="preserve">Prospective individuals to the service or services </w:t>
            </w:r>
          </w:p>
        </w:tc>
      </w:tr>
      <w:tr w:rsidTr="00D5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p>
        </w:tc>
      </w:tr>
      <w:tr w:rsidTr="00D5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rPr>
                <w:rStyle w:val="SpecialBold"/>
              </w:rPr>
              <w:t>Contexts may include</w:t>
            </w:r>
            <w:r w:rsidRPr="002E26B8">
              <w:t xml:space="preserve">: </w:t>
            </w:r>
          </w:p>
        </w:tc>
        <w:tc>
          <w:tcPr>
            <w:tcW w:w="4500" w:type="dxa"/>
            <w:tcBorders>
              <w:top w:val="nil"/>
              <w:left w:val="nil"/>
              <w:bottom w:val="nil"/>
              <w:right w:val="nil"/>
            </w:tcBorders>
            <w:tcMar>
              <w:top w:w="0" w:type="dxa"/>
              <w:left w:w="62" w:type="dxa"/>
              <w:bottom w:w="0" w:type="dxa"/>
              <w:right w:w="62" w:type="dxa"/>
            </w:tcMar>
          </w:tcPr>
          <w:p w:rsidR="00000000" w:rsidRPr="002E26B8" w:rsidP="002E26B8">
            <w:pPr>
              <w:pStyle w:val="BodyText"/>
            </w:pPr>
            <w:r w:rsidRPr="002E26B8">
              <w:t>Older person's own dwelling</w:t>
            </w:r>
          </w:p>
          <w:p w:rsidR="00000000" w:rsidRPr="002E26B8" w:rsidP="002E26B8">
            <w:pPr>
              <w:pStyle w:val="BodyText"/>
            </w:pPr>
            <w:r w:rsidRPr="002E26B8">
              <w:t>Independent living accommodat</w:t>
            </w:r>
            <w:r w:rsidRPr="002E26B8">
              <w:t>ion</w:t>
            </w:r>
          </w:p>
          <w:p w:rsidR="00000000" w:rsidRPr="002E26B8" w:rsidP="002E26B8">
            <w:pPr>
              <w:pStyle w:val="BodyText"/>
            </w:pPr>
            <w:r w:rsidRPr="002E26B8">
              <w:t>Residential aged care facilities</w:t>
            </w:r>
          </w:p>
          <w:p w:rsidR="00000000" w:rsidRPr="002E26B8" w:rsidP="002E26B8">
            <w:pPr>
              <w:pStyle w:val="BodyText"/>
            </w:pPr>
            <w:r w:rsidRPr="002E26B8">
              <w:t>Community centres</w:t>
            </w:r>
          </w:p>
          <w:p w:rsidR="00000000" w:rsidP="002E26B8">
            <w:pPr>
              <w:pStyle w:val="BodyText"/>
              <w:rPr>
                <w:lang w:val="en-NZ"/>
              </w:rPr>
            </w:pPr>
            <w:r w:rsidRPr="002E26B8">
              <w:t xml:space="preserve">Community/government agencies </w:t>
            </w:r>
          </w:p>
        </w:tc>
      </w:tr>
      <w:tr w:rsidTr="00D5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p>
        </w:tc>
      </w:tr>
      <w:tr w:rsidTr="00D5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rPr>
                <w:rStyle w:val="SpecialBold"/>
              </w:rPr>
              <w:t>Issues facing older people may include</w:t>
            </w:r>
            <w:r w:rsidRPr="002E26B8">
              <w:t xml:space="preserve">: </w:t>
            </w:r>
          </w:p>
        </w:tc>
        <w:tc>
          <w:tcPr>
            <w:tcW w:w="4500" w:type="dxa"/>
            <w:tcBorders>
              <w:top w:val="nil"/>
              <w:left w:val="nil"/>
              <w:bottom w:val="nil"/>
              <w:right w:val="nil"/>
            </w:tcBorders>
            <w:tcMar>
              <w:top w:w="0" w:type="dxa"/>
              <w:left w:w="62" w:type="dxa"/>
              <w:bottom w:w="0" w:type="dxa"/>
              <w:right w:w="62" w:type="dxa"/>
            </w:tcMar>
          </w:tcPr>
          <w:p w:rsidR="00000000" w:rsidRPr="002E26B8" w:rsidP="002E26B8">
            <w:pPr>
              <w:pStyle w:val="BodyText"/>
            </w:pPr>
            <w:r w:rsidRPr="002E26B8">
              <w:t xml:space="preserve">Changes that ageing may bring to:   </w:t>
            </w:r>
          </w:p>
          <w:p w:rsidR="00000000" w:rsidRPr="002E26B8" w:rsidP="002E26B8">
            <w:pPr>
              <w:pStyle w:val="BodyText"/>
            </w:pPr>
            <w:r w:rsidRPr="002E26B8">
              <w:t>physical processes</w:t>
            </w:r>
          </w:p>
          <w:p w:rsidR="00000000" w:rsidRPr="002E26B8" w:rsidP="002E26B8">
            <w:pPr>
              <w:pStyle w:val="BodyText"/>
            </w:pPr>
            <w:r w:rsidRPr="002E26B8">
              <w:t>cognitive function (including dementia)</w:t>
            </w:r>
          </w:p>
          <w:p w:rsidR="00000000" w:rsidRPr="002E26B8" w:rsidP="002E26B8">
            <w:pPr>
              <w:pStyle w:val="BodyText"/>
            </w:pPr>
            <w:r w:rsidRPr="002E26B8">
              <w:t>social interaction</w:t>
            </w:r>
          </w:p>
          <w:p w:rsidR="00000000" w:rsidRPr="002E26B8" w:rsidP="002E26B8">
            <w:pPr>
              <w:pStyle w:val="BodyText"/>
            </w:pPr>
            <w:r w:rsidRPr="002E26B8">
              <w:t>role and family relationships</w:t>
            </w:r>
          </w:p>
          <w:p w:rsidR="00000000" w:rsidRPr="002E26B8" w:rsidP="002E26B8">
            <w:pPr>
              <w:pStyle w:val="BodyText"/>
            </w:pPr>
            <w:r w:rsidRPr="002E26B8">
              <w:t>living arrangements</w:t>
            </w:r>
          </w:p>
          <w:p w:rsidR="00000000" w:rsidRPr="002E26B8" w:rsidP="002E26B8">
            <w:pPr>
              <w:pStyle w:val="BodyText"/>
            </w:pPr>
            <w:r w:rsidRPr="002E26B8">
              <w:t>level of independence (financial, community access, self care)</w:t>
            </w:r>
          </w:p>
          <w:p w:rsidR="00000000" w:rsidRPr="002E26B8" w:rsidP="002E26B8">
            <w:pPr>
              <w:pStyle w:val="BodyText"/>
            </w:pPr>
          </w:p>
          <w:p w:rsidR="00000000" w:rsidRPr="002E26B8" w:rsidP="002E26B8">
            <w:pPr>
              <w:pStyle w:val="BodyText"/>
            </w:pPr>
            <w:r w:rsidRPr="002E26B8">
              <w:t xml:space="preserve">Loss and grief  </w:t>
            </w:r>
          </w:p>
          <w:p w:rsidR="00000000" w:rsidRPr="002E26B8" w:rsidP="002E26B8">
            <w:pPr>
              <w:pStyle w:val="BodyText"/>
            </w:pPr>
            <w:r w:rsidRPr="002E26B8">
              <w:t>Family carer issues</w:t>
            </w:r>
          </w:p>
          <w:p w:rsidR="00000000" w:rsidP="002E26B8">
            <w:pPr>
              <w:pStyle w:val="BodyText"/>
              <w:rPr>
                <w:lang w:val="en-NZ"/>
              </w:rPr>
            </w:pPr>
            <w:r w:rsidRPr="002E26B8">
              <w:t xml:space="preserve">Societal attitudes and expectations </w:t>
            </w:r>
          </w:p>
        </w:tc>
      </w:tr>
      <w:tr w:rsidTr="00D5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p>
        </w:tc>
      </w:tr>
      <w:tr w:rsidTr="00D5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rPr>
                <w:rStyle w:val="SpecialBold"/>
              </w:rPr>
              <w:t>Current philosophies of service delivery may include</w:t>
            </w:r>
            <w:r w:rsidRPr="002E26B8">
              <w:t xml:space="preserve">: </w:t>
            </w:r>
          </w:p>
        </w:tc>
        <w:tc>
          <w:tcPr>
            <w:tcW w:w="4500" w:type="dxa"/>
            <w:tcBorders>
              <w:top w:val="nil"/>
              <w:left w:val="nil"/>
              <w:bottom w:val="nil"/>
              <w:right w:val="nil"/>
            </w:tcBorders>
            <w:tcMar>
              <w:top w:w="0" w:type="dxa"/>
              <w:left w:w="62" w:type="dxa"/>
              <w:bottom w:w="0" w:type="dxa"/>
              <w:right w:w="62" w:type="dxa"/>
            </w:tcMar>
          </w:tcPr>
          <w:p w:rsidR="00000000" w:rsidRPr="002E26B8" w:rsidP="002E26B8">
            <w:pPr>
              <w:pStyle w:val="BodyText"/>
            </w:pPr>
            <w:r w:rsidRPr="002E26B8">
              <w:t>Changing societal expectations (consumerism)</w:t>
            </w:r>
          </w:p>
          <w:p w:rsidR="00000000" w:rsidRPr="002E26B8" w:rsidP="002E26B8">
            <w:pPr>
              <w:pStyle w:val="BodyText"/>
            </w:pPr>
            <w:r w:rsidRPr="002E26B8">
              <w:t>Changing political context (polices and initiatives)</w:t>
            </w:r>
          </w:p>
          <w:p w:rsidR="00000000" w:rsidRPr="002E26B8" w:rsidP="002E26B8">
            <w:pPr>
              <w:pStyle w:val="BodyText"/>
            </w:pPr>
            <w:r w:rsidRPr="002E26B8">
              <w:t xml:space="preserve">Changing economic context </w:t>
            </w:r>
          </w:p>
          <w:p w:rsidR="00000000" w:rsidP="002E26B8">
            <w:pPr>
              <w:pStyle w:val="BodyText"/>
              <w:rPr>
                <w:lang w:val="en-NZ"/>
              </w:rPr>
            </w:pPr>
            <w:r w:rsidRPr="002E26B8">
              <w:t xml:space="preserve">Impact of ageing demographics </w:t>
            </w:r>
          </w:p>
        </w:tc>
      </w:tr>
      <w:tr w:rsidTr="00D5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p>
        </w:tc>
      </w:tr>
      <w:tr w:rsidTr="00D5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rPr>
                <w:rStyle w:val="SpecialBold"/>
              </w:rPr>
              <w:t>Rights may include</w:t>
            </w:r>
            <w:r w:rsidRPr="002E26B8">
              <w:t xml:space="preserve">: </w:t>
            </w:r>
          </w:p>
        </w:tc>
        <w:tc>
          <w:tcPr>
            <w:tcW w:w="4500" w:type="dxa"/>
            <w:tcBorders>
              <w:top w:val="nil"/>
              <w:left w:val="nil"/>
              <w:bottom w:val="nil"/>
              <w:right w:val="nil"/>
            </w:tcBorders>
            <w:tcMar>
              <w:top w:w="0" w:type="dxa"/>
              <w:left w:w="62" w:type="dxa"/>
              <w:bottom w:w="0" w:type="dxa"/>
              <w:right w:w="62" w:type="dxa"/>
            </w:tcMar>
          </w:tcPr>
          <w:p w:rsidR="00000000" w:rsidRPr="002E26B8" w:rsidP="002E26B8">
            <w:pPr>
              <w:pStyle w:val="BodyText"/>
            </w:pPr>
            <w:r w:rsidRPr="002E26B8">
              <w:t>Privacy</w:t>
            </w:r>
          </w:p>
          <w:p w:rsidR="00000000" w:rsidRPr="002E26B8" w:rsidP="002E26B8">
            <w:pPr>
              <w:pStyle w:val="BodyText"/>
            </w:pPr>
            <w:r w:rsidRPr="002E26B8">
              <w:t>Confidentiality</w:t>
            </w:r>
          </w:p>
          <w:p w:rsidR="00000000" w:rsidRPr="002E26B8" w:rsidP="002E26B8">
            <w:pPr>
              <w:pStyle w:val="BodyText"/>
            </w:pPr>
            <w:r w:rsidRPr="002E26B8">
              <w:t>Dignity</w:t>
            </w:r>
          </w:p>
          <w:p w:rsidR="00000000" w:rsidRPr="002E26B8" w:rsidP="002E26B8">
            <w:pPr>
              <w:pStyle w:val="BodyText"/>
            </w:pPr>
            <w:r w:rsidRPr="002E26B8">
              <w:t>Freedom of association</w:t>
            </w:r>
          </w:p>
          <w:p w:rsidR="00000000" w:rsidRPr="002E26B8" w:rsidP="002E26B8">
            <w:pPr>
              <w:pStyle w:val="BodyText"/>
            </w:pPr>
            <w:r w:rsidRPr="002E26B8">
              <w:t>Informed choice</w:t>
            </w:r>
          </w:p>
          <w:p w:rsidR="00000000" w:rsidRPr="002E26B8" w:rsidP="002E26B8">
            <w:pPr>
              <w:pStyle w:val="BodyText"/>
            </w:pPr>
            <w:r w:rsidRPr="002E26B8">
              <w:t>To l</w:t>
            </w:r>
            <w:r w:rsidRPr="002E26B8">
              <w:t>odge a complaint</w:t>
            </w:r>
          </w:p>
          <w:p w:rsidR="00000000" w:rsidRPr="002E26B8" w:rsidP="002E26B8">
            <w:pPr>
              <w:pStyle w:val="BodyText"/>
            </w:pPr>
            <w:r w:rsidRPr="002E26B8">
              <w:t>Right to express ideas and opinions</w:t>
            </w:r>
          </w:p>
          <w:p w:rsidR="00000000" w:rsidP="002E26B8">
            <w:pPr>
              <w:pStyle w:val="BodyText"/>
              <w:rPr>
                <w:lang w:val="en-NZ"/>
              </w:rPr>
            </w:pPr>
            <w:r w:rsidRPr="002E26B8">
              <w:t xml:space="preserve">To an agreed standard of care </w:t>
            </w:r>
          </w:p>
        </w:tc>
      </w:tr>
      <w:tr w:rsidTr="00D5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p>
        </w:tc>
      </w:tr>
      <w:tr w:rsidTr="00D5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rPr>
                <w:rStyle w:val="SpecialBold"/>
              </w:rPr>
              <w:t>Rights are detailed in</w:t>
            </w:r>
            <w:r w:rsidRPr="002E26B8">
              <w:t xml:space="preserve">: </w:t>
            </w:r>
          </w:p>
        </w:tc>
        <w:tc>
          <w:tcPr>
            <w:tcW w:w="4500" w:type="dxa"/>
            <w:tcBorders>
              <w:top w:val="nil"/>
              <w:left w:val="nil"/>
              <w:bottom w:val="nil"/>
              <w:right w:val="nil"/>
            </w:tcBorders>
            <w:tcMar>
              <w:top w:w="0" w:type="dxa"/>
              <w:left w:w="62" w:type="dxa"/>
              <w:bottom w:w="0" w:type="dxa"/>
              <w:right w:w="62" w:type="dxa"/>
            </w:tcMar>
          </w:tcPr>
          <w:p w:rsidR="00000000" w:rsidRPr="002E26B8" w:rsidP="002E26B8">
            <w:pPr>
              <w:pStyle w:val="BodyText"/>
            </w:pPr>
            <w:r w:rsidRPr="002E26B8">
              <w:t xml:space="preserve">Legislation    </w:t>
            </w:r>
          </w:p>
          <w:p w:rsidR="00000000" w:rsidRPr="002E26B8" w:rsidP="002E26B8">
            <w:pPr>
              <w:pStyle w:val="BodyText"/>
            </w:pPr>
            <w:r w:rsidRPr="002E26B8">
              <w:t>Residential Care Manual</w:t>
            </w:r>
          </w:p>
          <w:p w:rsidR="00000000" w:rsidRPr="002E26B8" w:rsidP="002E26B8">
            <w:pPr>
              <w:pStyle w:val="BodyText"/>
            </w:pPr>
            <w:r w:rsidRPr="002E26B8">
              <w:t>Aged Care Act</w:t>
            </w:r>
          </w:p>
          <w:p w:rsidR="00000000" w:rsidRPr="002E26B8" w:rsidP="002E26B8">
            <w:pPr>
              <w:pStyle w:val="BodyText"/>
            </w:pPr>
          </w:p>
          <w:p w:rsidR="00000000" w:rsidRPr="002E26B8" w:rsidP="002E26B8">
            <w:pPr>
              <w:pStyle w:val="BodyText"/>
            </w:pPr>
            <w:r w:rsidRPr="002E26B8">
              <w:t xml:space="preserve">Industry and organisation service standards  </w:t>
            </w:r>
          </w:p>
          <w:p w:rsidR="00000000" w:rsidRPr="002E26B8" w:rsidP="002E26B8">
            <w:pPr>
              <w:pStyle w:val="BodyText"/>
            </w:pPr>
            <w:r w:rsidRPr="002E26B8">
              <w:t>Industry and organisation codes of practice and ethics</w:t>
            </w:r>
          </w:p>
          <w:p w:rsidR="00000000" w:rsidRPr="002E26B8" w:rsidP="002E26B8">
            <w:pPr>
              <w:pStyle w:val="BodyText"/>
            </w:pPr>
            <w:r w:rsidRPr="002E26B8">
              <w:t>Accreditation standards</w:t>
            </w:r>
          </w:p>
          <w:p w:rsidR="00000000" w:rsidRPr="002E26B8" w:rsidP="002E26B8">
            <w:pPr>
              <w:pStyle w:val="BodyText"/>
            </w:pPr>
            <w:r w:rsidRPr="002E26B8">
              <w:t>International and national charters</w:t>
            </w:r>
          </w:p>
          <w:p w:rsidR="00000000" w:rsidP="002E26B8">
            <w:pPr>
              <w:pStyle w:val="BodyText"/>
              <w:rPr>
                <w:lang w:val="en-NZ"/>
              </w:rPr>
            </w:pPr>
            <w:r w:rsidRPr="002E26B8">
              <w:t xml:space="preserve">Organisation policy and procedure </w:t>
            </w:r>
          </w:p>
        </w:tc>
      </w:tr>
      <w:tr w:rsidTr="00D5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p>
        </w:tc>
      </w:tr>
      <w:tr w:rsidTr="00D5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rPr>
                <w:rStyle w:val="SpecialBold"/>
              </w:rPr>
              <w:t>Access and equity principles may include</w:t>
            </w:r>
            <w:r w:rsidRPr="002E26B8">
              <w:t xml:space="preserve">: </w:t>
            </w:r>
          </w:p>
        </w:tc>
        <w:tc>
          <w:tcPr>
            <w:tcW w:w="4500" w:type="dxa"/>
            <w:tcBorders>
              <w:top w:val="nil"/>
              <w:left w:val="nil"/>
              <w:bottom w:val="nil"/>
              <w:right w:val="nil"/>
            </w:tcBorders>
            <w:tcMar>
              <w:top w:w="0" w:type="dxa"/>
              <w:left w:w="62" w:type="dxa"/>
              <w:bottom w:w="0" w:type="dxa"/>
              <w:right w:w="62" w:type="dxa"/>
            </w:tcMar>
          </w:tcPr>
          <w:p w:rsidR="00000000" w:rsidRPr="002E26B8" w:rsidP="002E26B8">
            <w:pPr>
              <w:pStyle w:val="BodyText"/>
            </w:pPr>
            <w:r w:rsidRPr="002E26B8">
              <w:t>Creation of a client orientated culture</w:t>
            </w:r>
          </w:p>
          <w:p w:rsidR="00000000" w:rsidRPr="002E26B8" w:rsidP="002E26B8">
            <w:pPr>
              <w:pStyle w:val="BodyText"/>
            </w:pPr>
            <w:r w:rsidRPr="002E26B8">
              <w:t>Non-discriminatory approach to all individuals using or accessing the service</w:t>
            </w:r>
          </w:p>
          <w:p w:rsidR="00000000" w:rsidP="002E26B8">
            <w:pPr>
              <w:pStyle w:val="BodyText"/>
              <w:rPr>
                <w:lang w:val="en-NZ"/>
              </w:rPr>
            </w:pPr>
            <w:r w:rsidRPr="002E26B8">
              <w:t xml:space="preserve">Respect for individual differences </w:t>
            </w:r>
          </w:p>
        </w:tc>
      </w:tr>
      <w:tr w:rsidTr="00D5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p>
        </w:tc>
      </w:tr>
      <w:tr w:rsidTr="00D5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rPr>
                <w:rStyle w:val="SpecialBold"/>
              </w:rPr>
              <w:t>Appropriate person</w:t>
            </w:r>
            <w:r w:rsidRPr="002E26B8">
              <w:t>/</w:t>
            </w:r>
            <w:r w:rsidRPr="002E26B8">
              <w:rPr>
                <w:rStyle w:val="SpecialBold"/>
              </w:rPr>
              <w:t>s may include</w:t>
            </w:r>
            <w:r w:rsidRPr="002E26B8">
              <w:t xml:space="preserve">: </w:t>
            </w:r>
          </w:p>
        </w:tc>
        <w:tc>
          <w:tcPr>
            <w:tcW w:w="4500" w:type="dxa"/>
            <w:tcBorders>
              <w:top w:val="nil"/>
              <w:left w:val="nil"/>
              <w:bottom w:val="nil"/>
              <w:right w:val="nil"/>
            </w:tcBorders>
            <w:tcMar>
              <w:top w:w="0" w:type="dxa"/>
              <w:left w:w="62" w:type="dxa"/>
              <w:bottom w:w="0" w:type="dxa"/>
              <w:right w:w="62" w:type="dxa"/>
            </w:tcMar>
          </w:tcPr>
          <w:p w:rsidR="00000000" w:rsidRPr="002E26B8" w:rsidP="002E26B8">
            <w:pPr>
              <w:pStyle w:val="BodyText"/>
            </w:pPr>
            <w:r w:rsidRPr="002E26B8">
              <w:t>Supervisor</w:t>
            </w:r>
          </w:p>
          <w:p w:rsidR="00000000" w:rsidRPr="002E26B8" w:rsidP="002E26B8">
            <w:pPr>
              <w:pStyle w:val="BodyText"/>
            </w:pPr>
            <w:r w:rsidRPr="002E26B8">
              <w:t>Member of senior management</w:t>
            </w:r>
          </w:p>
          <w:p w:rsidR="00000000" w:rsidRPr="002E26B8" w:rsidP="002E26B8">
            <w:pPr>
              <w:pStyle w:val="BodyText"/>
            </w:pPr>
            <w:r w:rsidRPr="002E26B8">
              <w:t>Colleagues</w:t>
            </w:r>
          </w:p>
          <w:p w:rsidR="00000000" w:rsidRPr="002E26B8" w:rsidP="002E26B8">
            <w:pPr>
              <w:pStyle w:val="BodyText"/>
            </w:pPr>
            <w:r w:rsidRPr="002E26B8">
              <w:t>Carers</w:t>
            </w:r>
          </w:p>
          <w:p w:rsidR="00000000" w:rsidRPr="002E26B8" w:rsidP="002E26B8">
            <w:pPr>
              <w:pStyle w:val="BodyText"/>
            </w:pPr>
            <w:r w:rsidRPr="002E26B8">
              <w:t>Health professionals</w:t>
            </w:r>
          </w:p>
          <w:p w:rsidR="00000000" w:rsidRPr="002E26B8" w:rsidP="002E26B8">
            <w:pPr>
              <w:pStyle w:val="BodyText"/>
            </w:pPr>
            <w:r w:rsidRPr="002E26B8">
              <w:t>External agencies (complaints and advocacy services and professional registering authorities)</w:t>
            </w:r>
          </w:p>
          <w:p w:rsidR="00000000" w:rsidP="002E26B8">
            <w:pPr>
              <w:pStyle w:val="BodyText"/>
              <w:rPr>
                <w:lang w:val="en-NZ"/>
              </w:rPr>
            </w:pPr>
            <w:r w:rsidRPr="002E26B8">
              <w:t xml:space="preserve">Law enforcement officer </w:t>
            </w:r>
          </w:p>
        </w:tc>
      </w:tr>
      <w:tr w:rsidTr="00D5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p>
        </w:tc>
      </w:tr>
      <w:tr w:rsidTr="00D5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26B8">
            <w:pPr>
              <w:pStyle w:val="BodyText"/>
              <w:rPr>
                <w:lang w:val="en-NZ"/>
              </w:rPr>
            </w:pPr>
            <w:r w:rsidRPr="002E26B8">
              <w:rPr>
                <w:rStyle w:val="SpecialBold"/>
              </w:rPr>
              <w:t>Report may be</w:t>
            </w:r>
            <w:r w:rsidRPr="002E26B8">
              <w:t xml:space="preserve">: </w:t>
            </w:r>
          </w:p>
        </w:tc>
        <w:tc>
          <w:tcPr>
            <w:tcW w:w="4500" w:type="dxa"/>
            <w:tcBorders>
              <w:top w:val="nil"/>
              <w:left w:val="nil"/>
              <w:bottom w:val="nil"/>
              <w:right w:val="nil"/>
            </w:tcBorders>
            <w:tcMar>
              <w:top w:w="0" w:type="dxa"/>
              <w:left w:w="62" w:type="dxa"/>
              <w:bottom w:w="0" w:type="dxa"/>
              <w:right w:w="62" w:type="dxa"/>
            </w:tcMar>
          </w:tcPr>
          <w:p w:rsidR="00000000" w:rsidRPr="002E26B8" w:rsidP="002E26B8">
            <w:pPr>
              <w:pStyle w:val="BodyText"/>
            </w:pPr>
            <w:r w:rsidRPr="002E26B8">
              <w:t xml:space="preserve">Verbal:   </w:t>
            </w:r>
          </w:p>
          <w:p w:rsidR="00000000" w:rsidRPr="002E26B8" w:rsidP="002E26B8">
            <w:pPr>
              <w:pStyle w:val="BodyText"/>
            </w:pPr>
            <w:r w:rsidRPr="002E26B8">
              <w:t>telephone</w:t>
            </w:r>
          </w:p>
          <w:p w:rsidR="00000000" w:rsidRPr="002E26B8" w:rsidP="002E26B8">
            <w:pPr>
              <w:pStyle w:val="BodyText"/>
            </w:pPr>
            <w:r w:rsidRPr="002E26B8">
              <w:t>face-to-face</w:t>
            </w:r>
          </w:p>
          <w:p w:rsidR="00000000" w:rsidRPr="002E26B8" w:rsidP="002E26B8">
            <w:pPr>
              <w:pStyle w:val="BodyText"/>
            </w:pPr>
          </w:p>
          <w:p w:rsidR="00000000" w:rsidRPr="002E26B8" w:rsidP="002E26B8">
            <w:pPr>
              <w:pStyle w:val="BodyText"/>
            </w:pPr>
            <w:r w:rsidRPr="002E26B8">
              <w:t xml:space="preserve">Non-verbal (written):     </w:t>
            </w:r>
          </w:p>
          <w:p w:rsidR="00000000" w:rsidRPr="002E26B8" w:rsidP="002E26B8">
            <w:pPr>
              <w:pStyle w:val="BodyText"/>
            </w:pPr>
            <w:r w:rsidRPr="002E26B8">
              <w:t>progress reports</w:t>
            </w:r>
          </w:p>
          <w:p w:rsidR="00000000" w:rsidRPr="002E26B8" w:rsidP="002E26B8">
            <w:pPr>
              <w:pStyle w:val="BodyText"/>
            </w:pPr>
            <w:r w:rsidRPr="002E26B8">
              <w:t>case notes</w:t>
            </w:r>
          </w:p>
          <w:p w:rsidR="00000000" w:rsidP="002E26B8">
            <w:pPr>
              <w:pStyle w:val="BodyText"/>
              <w:rPr>
                <w:lang w:val="en-NZ"/>
              </w:rPr>
            </w:pPr>
            <w:r w:rsidRPr="002E26B8">
              <w:t xml:space="preserve">incident reports </w:t>
            </w:r>
          </w:p>
        </w:tc>
      </w:tr>
      <w:tr w:rsidTr="00D524A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2E26B8" w:rsidP="002E26B8">
            <w:pPr>
              <w:pStyle w:val="BodyText"/>
            </w:pPr>
          </w:p>
        </w:tc>
      </w:tr>
    </w:tbl>
    <w:p w:rsidR="00000000" w:rsidRPr="002E26B8" w:rsidP="002E26B8">
      <w:pPr>
        <w:pStyle w:val="BodyText"/>
      </w:pPr>
    </w:p>
    <w:p w:rsidR="00000000" w:rsidRPr="002E26B8" w:rsidP="002E26B8">
      <w:pPr>
        <w:pStyle w:val="AllowPageBreak"/>
      </w:pPr>
    </w:p>
    <w:p w:rsidR="00000000" w:rsidRPr="002E26B8" w:rsidP="002E26B8">
      <w:pPr>
        <w:pStyle w:val="Heading1"/>
      </w:pPr>
      <w:bookmarkStart w:id="12" w:name="O_312935"/>
      <w:bookmarkEnd w:id="12"/>
      <w:r w:rsidRPr="002E26B8">
        <w:t>Unit Sector(s)</w:t>
      </w:r>
    </w:p>
    <w:p w:rsidR="00000000" w:rsidRPr="002E26B8" w:rsidP="002E26B8"/>
    <w:sectPr w:rsidSect="002E26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6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24AA" w:rsidP="00D524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6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4AA" w:rsidP="002E26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524AA" w:rsidP="002E26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524AA" w:rsidP="002E26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6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24AA" w:rsidP="00D524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6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4AA" w:rsidP="002E26B8">
    <w:pPr>
      <w:pStyle w:val="Header"/>
      <w:framePr w:wrap="around"/>
    </w:pPr>
    <w:r>
      <w:fldChar w:fldCharType="begin"/>
    </w:r>
    <w:r>
      <w:instrText xml:space="preserve"> TITLE   \* MERGEFORMAT </w:instrText>
    </w:r>
    <w:r>
      <w:fldChar w:fldCharType="separate"/>
    </w:r>
    <w:r>
      <w:t>CHCAC318A Work effectively with older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24AA" w:rsidP="002E26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6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26B8"/>
    <w:pPr>
      <w:spacing w:before="360" w:after="60"/>
      <w:outlineLvl w:val="0"/>
    </w:pPr>
    <w:rPr>
      <w:sz w:val="32"/>
    </w:rPr>
  </w:style>
  <w:style w:type="paragraph" w:styleId="Heading2">
    <w:name w:val="heading 2"/>
    <w:basedOn w:val="HeadingBase"/>
    <w:next w:val="BodyText"/>
    <w:link w:val="Heading2Char"/>
    <w:qFormat/>
    <w:rsid w:val="002E26B8"/>
    <w:pPr>
      <w:keepLines/>
      <w:spacing w:before="240" w:after="120"/>
      <w:outlineLvl w:val="1"/>
    </w:pPr>
    <w:rPr>
      <w:sz w:val="28"/>
      <w:szCs w:val="40"/>
    </w:rPr>
  </w:style>
  <w:style w:type="paragraph" w:styleId="Heading3">
    <w:name w:val="heading 3"/>
    <w:basedOn w:val="HeadingBase"/>
    <w:next w:val="BodyText"/>
    <w:link w:val="Heading3Char"/>
    <w:qFormat/>
    <w:rsid w:val="002E26B8"/>
    <w:pPr>
      <w:spacing w:before="180" w:after="120"/>
      <w:outlineLvl w:val="2"/>
    </w:pPr>
    <w:rPr>
      <w:spacing w:val="-10"/>
      <w:kern w:val="32"/>
    </w:rPr>
  </w:style>
  <w:style w:type="paragraph" w:styleId="Heading4">
    <w:name w:val="heading 4"/>
    <w:basedOn w:val="HeadingBase"/>
    <w:next w:val="BodyText"/>
    <w:link w:val="Heading4Char"/>
    <w:qFormat/>
    <w:rsid w:val="002E26B8"/>
    <w:pPr>
      <w:spacing w:before="160" w:after="120"/>
      <w:outlineLvl w:val="3"/>
    </w:pPr>
    <w:rPr>
      <w:sz w:val="22"/>
    </w:rPr>
  </w:style>
  <w:style w:type="paragraph" w:styleId="Heading5">
    <w:name w:val="heading 5"/>
    <w:basedOn w:val="HeadingBase"/>
    <w:next w:val="Normal"/>
    <w:link w:val="Heading5Char"/>
    <w:qFormat/>
    <w:rsid w:val="002E26B8"/>
    <w:pPr>
      <w:spacing w:before="80"/>
      <w:outlineLvl w:val="4"/>
    </w:pPr>
    <w:rPr>
      <w:color w:val="918585"/>
      <w:sz w:val="20"/>
    </w:rPr>
  </w:style>
  <w:style w:type="paragraph" w:styleId="Heading6">
    <w:name w:val="heading 6"/>
    <w:basedOn w:val="HeadingBase"/>
    <w:next w:val="Normal"/>
    <w:link w:val="Heading6Char"/>
    <w:qFormat/>
    <w:rsid w:val="002E26B8"/>
    <w:pPr>
      <w:spacing w:before="60"/>
      <w:outlineLvl w:val="5"/>
    </w:pPr>
    <w:rPr>
      <w:color w:val="918585"/>
      <w:sz w:val="20"/>
    </w:rPr>
  </w:style>
  <w:style w:type="paragraph" w:styleId="Heading7">
    <w:name w:val="heading 7"/>
    <w:basedOn w:val="Normal"/>
    <w:next w:val="Normal"/>
    <w:link w:val="Heading7Char"/>
    <w:qFormat/>
    <w:rsid w:val="002E26B8"/>
    <w:pPr>
      <w:ind w:left="720"/>
      <w:outlineLvl w:val="6"/>
    </w:pPr>
    <w:rPr>
      <w:i/>
    </w:rPr>
  </w:style>
  <w:style w:type="paragraph" w:styleId="Heading8">
    <w:name w:val="heading 8"/>
    <w:basedOn w:val="Normal"/>
    <w:next w:val="Normal"/>
    <w:link w:val="Heading8Char"/>
    <w:qFormat/>
    <w:rsid w:val="002E26B8"/>
    <w:pPr>
      <w:ind w:left="720"/>
      <w:outlineLvl w:val="7"/>
    </w:pPr>
    <w:rPr>
      <w:i/>
    </w:rPr>
  </w:style>
  <w:style w:type="paragraph" w:styleId="Heading9">
    <w:name w:val="heading 9"/>
    <w:basedOn w:val="Normal"/>
    <w:next w:val="Normal"/>
    <w:link w:val="Heading9Char"/>
    <w:qFormat/>
    <w:rsid w:val="002E26B8"/>
    <w:pPr>
      <w:ind w:left="720"/>
      <w:outlineLvl w:val="8"/>
    </w:pPr>
    <w:rPr>
      <w:i/>
    </w:rPr>
  </w:style>
  <w:style w:type="character" w:default="1" w:styleId="DefaultParagraphFont">
    <w:name w:val="Default Paragraph Font"/>
    <w:uiPriority w:val="1"/>
    <w:unhideWhenUsed/>
    <w:rsid w:val="002E26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26B8"/>
  </w:style>
  <w:style w:type="character" w:customStyle="1" w:styleId="Heading1Char">
    <w:name w:val="Heading 1 Char"/>
    <w:basedOn w:val="DefaultParagraphFont"/>
    <w:link w:val="Heading1"/>
    <w:rsid w:val="002E26B8"/>
    <w:rPr>
      <w:rFonts w:ascii="Times New Roman" w:eastAsia="Times New Roman" w:hAnsi="Times New Roman" w:cs="Times New Roman"/>
      <w:b/>
      <w:sz w:val="32"/>
      <w:szCs w:val="20"/>
      <w:lang w:eastAsia="en-US"/>
    </w:rPr>
  </w:style>
  <w:style w:type="paragraph" w:styleId="BodyText">
    <w:name w:val="Body Text"/>
    <w:basedOn w:val="Normal"/>
    <w:link w:val="BodyTextChar"/>
    <w:rsid w:val="002E26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26B8"/>
    <w:rPr>
      <w:rFonts w:ascii="Times New Roman" w:eastAsia="Times New Roman" w:hAnsi="Times New Roman" w:cs="Times New Roman"/>
      <w:sz w:val="24"/>
      <w:lang w:val="en-US" w:eastAsia="en-US"/>
    </w:rPr>
  </w:style>
  <w:style w:type="paragraph" w:styleId="Footer">
    <w:name w:val="footer"/>
    <w:basedOn w:val="Normal"/>
    <w:link w:val="FooterChar"/>
    <w:rsid w:val="002E26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26B8"/>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E26B8"/>
    <w:rPr>
      <w:b/>
      <w:spacing w:val="0"/>
    </w:rPr>
  </w:style>
  <w:style w:type="paragraph" w:styleId="Header">
    <w:name w:val="header"/>
    <w:basedOn w:val="Normal"/>
    <w:link w:val="HeaderChar"/>
    <w:rsid w:val="002E26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26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26B8"/>
    <w:pPr>
      <w:spacing w:before="240" w:after="120"/>
      <w:outlineLvl w:val="0"/>
    </w:pPr>
    <w:rPr>
      <w:rFonts w:ascii="Times New Roman" w:hAnsi="Times New Roman"/>
      <w:b/>
      <w:sz w:val="28"/>
    </w:rPr>
  </w:style>
  <w:style w:type="paragraph" w:customStyle="1" w:styleId="AllowPageBreak">
    <w:name w:val="AllowPageBreak"/>
    <w:rsid w:val="002E26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26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26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26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26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26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26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26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26B8"/>
    <w:rPr>
      <w:rFonts w:ascii="Courier New" w:eastAsia="Times New Roman" w:hAnsi="Courier New" w:cs="Times New Roman"/>
      <w:i/>
      <w:szCs w:val="20"/>
      <w:lang w:val="en-US" w:eastAsia="en-US"/>
    </w:rPr>
  </w:style>
  <w:style w:type="paragraph" w:customStyle="1" w:styleId="HeadingBase">
    <w:name w:val="Heading Base"/>
    <w:rsid w:val="002E26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26B8"/>
    <w:pPr>
      <w:tabs>
        <w:tab w:val="right" w:leader="dot" w:pos="9072"/>
      </w:tabs>
      <w:ind w:left="567"/>
    </w:pPr>
    <w:rPr>
      <w:szCs w:val="22"/>
    </w:rPr>
  </w:style>
  <w:style w:type="paragraph" w:customStyle="1" w:styleId="TOCBase">
    <w:name w:val="TOC Base"/>
    <w:rsid w:val="002E26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26B8"/>
    <w:pPr>
      <w:tabs>
        <w:tab w:val="right" w:leader="dot" w:pos="9072"/>
      </w:tabs>
      <w:spacing w:before="40" w:after="40"/>
      <w:ind w:left="284"/>
    </w:pPr>
    <w:rPr>
      <w:rFonts w:ascii="Times New Roman" w:hAnsi="Times New Roman"/>
    </w:rPr>
  </w:style>
  <w:style w:type="paragraph" w:styleId="TOC1">
    <w:name w:val="toc 1"/>
    <w:basedOn w:val="TOCBase"/>
    <w:next w:val="Normal"/>
    <w:rsid w:val="002E26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26B8"/>
    <w:pPr>
      <w:spacing w:before="5040"/>
      <w:jc w:val="center"/>
    </w:pPr>
    <w:rPr>
      <w:sz w:val="48"/>
      <w:szCs w:val="72"/>
      <w:lang w:val="en-US"/>
    </w:rPr>
  </w:style>
  <w:style w:type="character" w:customStyle="1" w:styleId="TitleChar">
    <w:name w:val="Title Char"/>
    <w:basedOn w:val="DefaultParagraphFont"/>
    <w:link w:val="Title"/>
    <w:rsid w:val="002E26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26B8"/>
    <w:pPr>
      <w:tabs>
        <w:tab w:val="left" w:pos="3600"/>
        <w:tab w:val="left" w:pos="3958"/>
      </w:tabs>
    </w:pPr>
  </w:style>
  <w:style w:type="paragraph" w:styleId="List">
    <w:name w:val="List"/>
    <w:basedOn w:val="BodyText"/>
    <w:next w:val="BodyText"/>
    <w:rsid w:val="002E26B8"/>
    <w:pPr>
      <w:tabs>
        <w:tab w:val="left" w:pos="340"/>
      </w:tabs>
      <w:spacing w:before="60" w:after="60"/>
      <w:ind w:left="340" w:hanging="340"/>
    </w:pPr>
  </w:style>
  <w:style w:type="paragraph" w:styleId="ListBullet">
    <w:name w:val="List Bullet"/>
    <w:basedOn w:val="List"/>
    <w:rsid w:val="002E26B8"/>
    <w:pPr>
      <w:numPr>
        <w:numId w:val="11"/>
      </w:numPr>
      <w:tabs>
        <w:tab w:val="clear" w:pos="340"/>
      </w:tabs>
      <w:spacing w:before="40" w:after="40"/>
    </w:pPr>
  </w:style>
  <w:style w:type="paragraph" w:customStyle="1" w:styleId="Note">
    <w:name w:val="Note"/>
    <w:basedOn w:val="BodyText"/>
    <w:rsid w:val="002E26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26B8"/>
    <w:pPr>
      <w:framePr w:wrap="auto" w:hAnchor="text" w:y="6049"/>
    </w:pPr>
    <w:rPr>
      <w:color w:val="000000"/>
      <w:sz w:val="40"/>
    </w:rPr>
  </w:style>
  <w:style w:type="paragraph" w:customStyle="1" w:styleId="TOCTitle">
    <w:name w:val="TOCTitle"/>
    <w:basedOn w:val="Heading1"/>
    <w:rsid w:val="002E26B8"/>
    <w:pPr>
      <w:spacing w:after="240"/>
      <w:jc w:val="center"/>
      <w:outlineLvl w:val="9"/>
    </w:pPr>
    <w:rPr>
      <w:caps/>
    </w:rPr>
  </w:style>
  <w:style w:type="paragraph" w:customStyle="1" w:styleId="Version">
    <w:name w:val="Version"/>
    <w:rsid w:val="002E26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26B8"/>
    <w:pPr>
      <w:numPr>
        <w:numId w:val="12"/>
      </w:numPr>
      <w:tabs>
        <w:tab w:val="clear" w:pos="680"/>
      </w:tabs>
    </w:pPr>
  </w:style>
  <w:style w:type="paragraph" w:styleId="Index1">
    <w:name w:val="index 1"/>
    <w:basedOn w:val="Normal"/>
    <w:next w:val="Normal"/>
    <w:semiHidden/>
    <w:rsid w:val="002E26B8"/>
    <w:pPr>
      <w:keepNext w:val="0"/>
      <w:tabs>
        <w:tab w:val="right" w:pos="4176"/>
      </w:tabs>
      <w:ind w:left="198" w:hanging="198"/>
    </w:pPr>
    <w:rPr>
      <w:rFonts w:ascii="Garamond" w:hAnsi="Garamond"/>
    </w:rPr>
  </w:style>
  <w:style w:type="paragraph" w:styleId="IndexHeading">
    <w:name w:val="index heading"/>
    <w:basedOn w:val="Normal"/>
    <w:next w:val="Index1"/>
    <w:semiHidden/>
    <w:rsid w:val="002E26B8"/>
    <w:pPr>
      <w:spacing w:before="120" w:after="120"/>
    </w:pPr>
    <w:rPr>
      <w:rFonts w:ascii="Arial" w:hAnsi="Arial"/>
      <w:b/>
      <w:color w:val="918585"/>
      <w:sz w:val="24"/>
    </w:rPr>
  </w:style>
  <w:style w:type="paragraph" w:customStyle="1" w:styleId="Chapter">
    <w:name w:val="Chapter"/>
    <w:basedOn w:val="Normal"/>
    <w:rsid w:val="002E26B8"/>
    <w:pPr>
      <w:spacing w:before="240"/>
    </w:pPr>
    <w:rPr>
      <w:rFonts w:ascii="Times New Roman" w:hAnsi="Times New Roman"/>
      <w:smallCaps/>
      <w:spacing w:val="80"/>
      <w:sz w:val="28"/>
    </w:rPr>
  </w:style>
  <w:style w:type="paragraph" w:customStyle="1" w:styleId="InChapter">
    <w:name w:val="InChapter"/>
    <w:basedOn w:val="Heading3"/>
    <w:rsid w:val="002E26B8"/>
    <w:pPr>
      <w:spacing w:after="240"/>
      <w:outlineLvl w:val="9"/>
    </w:pPr>
    <w:rPr>
      <w:noProof/>
    </w:rPr>
  </w:style>
  <w:style w:type="paragraph" w:styleId="Index2">
    <w:name w:val="index 2"/>
    <w:basedOn w:val="Normal"/>
    <w:next w:val="Normal"/>
    <w:semiHidden/>
    <w:rsid w:val="002E26B8"/>
    <w:pPr>
      <w:tabs>
        <w:tab w:val="right" w:pos="4176"/>
      </w:tabs>
      <w:ind w:left="568" w:hanging="284"/>
    </w:pPr>
    <w:rPr>
      <w:rFonts w:ascii="Garamond" w:hAnsi="Garamond"/>
    </w:rPr>
  </w:style>
  <w:style w:type="paragraph" w:customStyle="1" w:styleId="Byline">
    <w:name w:val="Byline"/>
    <w:rsid w:val="002E26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26B8"/>
    <w:pPr>
      <w:tabs>
        <w:tab w:val="clear" w:pos="3600"/>
        <w:tab w:val="clear" w:pos="3958"/>
      </w:tabs>
      <w:jc w:val="right"/>
    </w:pPr>
  </w:style>
  <w:style w:type="character" w:styleId="Emphasis">
    <w:name w:val="Emphasis"/>
    <w:basedOn w:val="DefaultParagraphFont"/>
    <w:qFormat/>
    <w:rsid w:val="002E26B8"/>
    <w:rPr>
      <w:i/>
    </w:rPr>
  </w:style>
  <w:style w:type="paragraph" w:styleId="Caption">
    <w:name w:val="caption"/>
    <w:basedOn w:val="BodyText"/>
    <w:next w:val="Normal"/>
    <w:qFormat/>
    <w:rsid w:val="002E26B8"/>
    <w:pPr>
      <w:framePr w:w="2268" w:hSpace="181" w:vSpace="181" w:wrap="around" w:vAnchor="text" w:hAnchor="page" w:x="1135" w:y="285" w:anchorLock="1"/>
    </w:pPr>
    <w:rPr>
      <w:i/>
    </w:rPr>
  </w:style>
  <w:style w:type="paragraph" w:customStyle="1" w:styleId="MiniTOCTitle">
    <w:name w:val="MiniTOCTitle"/>
    <w:basedOn w:val="Heading4"/>
    <w:rsid w:val="002E26B8"/>
    <w:pPr>
      <w:spacing w:before="240"/>
      <w:outlineLvl w:val="9"/>
    </w:pPr>
    <w:rPr>
      <w:noProof/>
      <w:sz w:val="24"/>
    </w:rPr>
  </w:style>
  <w:style w:type="paragraph" w:customStyle="1" w:styleId="MiniTOCItem">
    <w:name w:val="MiniTOCItem"/>
    <w:basedOn w:val="ListBullet"/>
    <w:rsid w:val="002E26B8"/>
    <w:pPr>
      <w:numPr>
        <w:numId w:val="0"/>
      </w:numPr>
      <w:tabs>
        <w:tab w:val="right" w:leader="dot" w:pos="6521"/>
      </w:tabs>
      <w:spacing w:before="0" w:after="0"/>
    </w:pPr>
  </w:style>
  <w:style w:type="paragraph" w:customStyle="1" w:styleId="TOFTitle">
    <w:name w:val="TOFTitle"/>
    <w:basedOn w:val="TOCTitle"/>
    <w:rsid w:val="002E26B8"/>
  </w:style>
  <w:style w:type="paragraph" w:styleId="TableofFigures">
    <w:name w:val="table of figures"/>
    <w:basedOn w:val="Normal"/>
    <w:next w:val="Normal"/>
    <w:semiHidden/>
    <w:rsid w:val="002E26B8"/>
    <w:pPr>
      <w:tabs>
        <w:tab w:val="right" w:leader="dot" w:pos="9072"/>
      </w:tabs>
      <w:ind w:left="970" w:hanging="403"/>
    </w:pPr>
    <w:rPr>
      <w:rFonts w:ascii="Times New Roman" w:hAnsi="Times New Roman"/>
      <w:b/>
    </w:rPr>
  </w:style>
  <w:style w:type="paragraph" w:styleId="ListNumber">
    <w:name w:val="List Number"/>
    <w:basedOn w:val="List"/>
    <w:rsid w:val="002E26B8"/>
    <w:pPr>
      <w:numPr>
        <w:numId w:val="9"/>
      </w:numPr>
    </w:pPr>
  </w:style>
  <w:style w:type="character" w:customStyle="1" w:styleId="WingdingSymbols">
    <w:name w:val="Wingding Symbols"/>
    <w:rsid w:val="002E26B8"/>
    <w:rPr>
      <w:rFonts w:ascii="Wingdings" w:hAnsi="Wingdings"/>
    </w:rPr>
  </w:style>
  <w:style w:type="paragraph" w:customStyle="1" w:styleId="TableHeading">
    <w:name w:val="Table Heading"/>
    <w:basedOn w:val="HeadingBase"/>
    <w:rsid w:val="002E26B8"/>
    <w:pPr>
      <w:keepLines/>
      <w:pBdr>
        <w:bottom w:val="single" w:sz="6" w:space="1" w:color="918585"/>
      </w:pBdr>
      <w:spacing w:before="240"/>
    </w:pPr>
  </w:style>
  <w:style w:type="character" w:customStyle="1" w:styleId="HotSpot">
    <w:name w:val="HotSpot"/>
    <w:rsid w:val="002E26B8"/>
    <w:rPr>
      <w:color w:val="0033CC"/>
      <w:u w:val="none"/>
    </w:rPr>
  </w:style>
  <w:style w:type="paragraph" w:customStyle="1" w:styleId="BodyTextRight">
    <w:name w:val="Body Text Right"/>
    <w:basedOn w:val="BodyText"/>
    <w:rsid w:val="002E26B8"/>
    <w:pPr>
      <w:spacing w:before="0" w:after="0"/>
      <w:jc w:val="right"/>
    </w:pPr>
  </w:style>
  <w:style w:type="paragraph" w:styleId="Index3">
    <w:name w:val="index 3"/>
    <w:basedOn w:val="ListNumber2"/>
    <w:next w:val="Normal"/>
    <w:semiHidden/>
    <w:rsid w:val="002E26B8"/>
    <w:pPr>
      <w:numPr>
        <w:numId w:val="0"/>
      </w:numPr>
      <w:tabs>
        <w:tab w:val="right" w:leader="dot" w:pos="4176"/>
      </w:tabs>
    </w:pPr>
  </w:style>
  <w:style w:type="paragraph" w:styleId="ListNumber2">
    <w:name w:val="List Number 2"/>
    <w:basedOn w:val="List2"/>
    <w:rsid w:val="002E26B8"/>
    <w:pPr>
      <w:numPr>
        <w:numId w:val="8"/>
      </w:numPr>
      <w:tabs>
        <w:tab w:val="clear" w:pos="1060"/>
      </w:tabs>
    </w:pPr>
  </w:style>
  <w:style w:type="paragraph" w:customStyle="1" w:styleId="MarginNote">
    <w:name w:val="Margin Note"/>
    <w:basedOn w:val="BodyText"/>
    <w:rsid w:val="002E26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26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26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26B8"/>
    <w:rPr>
      <w:sz w:val="32"/>
    </w:rPr>
  </w:style>
  <w:style w:type="paragraph" w:customStyle="1" w:styleId="HeadingProcedure">
    <w:name w:val="Heading Procedure"/>
    <w:basedOn w:val="HeadingBase"/>
    <w:next w:val="Normal"/>
    <w:rsid w:val="002E26B8"/>
    <w:pPr>
      <w:tabs>
        <w:tab w:val="left" w:pos="0"/>
      </w:tabs>
      <w:spacing w:before="120" w:after="60"/>
    </w:pPr>
    <w:rPr>
      <w:i/>
      <w:color w:val="918585"/>
      <w:sz w:val="22"/>
    </w:rPr>
  </w:style>
  <w:style w:type="paragraph" w:customStyle="1" w:styleId="TableBodyText">
    <w:name w:val="Table Body Text"/>
    <w:basedOn w:val="BodyText"/>
    <w:rsid w:val="002E26B8"/>
    <w:pPr>
      <w:spacing w:before="60" w:after="60"/>
    </w:pPr>
  </w:style>
  <w:style w:type="paragraph" w:styleId="ListContinue">
    <w:name w:val="List Continue"/>
    <w:basedOn w:val="List"/>
    <w:rsid w:val="002E26B8"/>
    <w:pPr>
      <w:ind w:firstLine="0"/>
    </w:pPr>
  </w:style>
  <w:style w:type="paragraph" w:customStyle="1" w:styleId="ListNote">
    <w:name w:val="List Note"/>
    <w:basedOn w:val="List"/>
    <w:rsid w:val="002E26B8"/>
    <w:pPr>
      <w:pBdr>
        <w:top w:val="single" w:sz="6" w:space="2" w:color="918585"/>
        <w:bottom w:val="single" w:sz="6" w:space="2" w:color="918585"/>
      </w:pBdr>
      <w:tabs>
        <w:tab w:val="left" w:pos="1021"/>
      </w:tabs>
      <w:ind w:firstLine="0"/>
    </w:pPr>
  </w:style>
  <w:style w:type="paragraph" w:customStyle="1" w:styleId="Warning">
    <w:name w:val="Warning"/>
    <w:basedOn w:val="BodyText"/>
    <w:rsid w:val="002E26B8"/>
    <w:pPr>
      <w:shd w:val="clear" w:color="auto" w:fill="D9D9D9"/>
      <w:tabs>
        <w:tab w:val="left" w:pos="992"/>
      </w:tabs>
      <w:ind w:left="119" w:right="119"/>
    </w:pPr>
    <w:rPr>
      <w:sz w:val="20"/>
    </w:rPr>
  </w:style>
  <w:style w:type="paragraph" w:customStyle="1" w:styleId="MarginIcons">
    <w:name w:val="Margin Icons"/>
    <w:basedOn w:val="BodyText"/>
    <w:rsid w:val="002E26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26B8"/>
    <w:rPr>
      <w:rFonts w:ascii="Courier New" w:hAnsi="Courier New"/>
    </w:rPr>
  </w:style>
  <w:style w:type="paragraph" w:customStyle="1" w:styleId="NoteBullet">
    <w:name w:val="Note Bullet"/>
    <w:basedOn w:val="Note"/>
    <w:rsid w:val="002E26B8"/>
    <w:pPr>
      <w:tabs>
        <w:tab w:val="clear" w:pos="680"/>
      </w:tabs>
      <w:spacing w:before="60" w:after="60"/>
    </w:pPr>
  </w:style>
  <w:style w:type="paragraph" w:customStyle="1" w:styleId="SubHeading2">
    <w:name w:val="SubHeading2"/>
    <w:basedOn w:val="HeadingBase"/>
    <w:rsid w:val="002E26B8"/>
    <w:pPr>
      <w:spacing w:before="240" w:after="60"/>
    </w:pPr>
    <w:rPr>
      <w:sz w:val="20"/>
    </w:rPr>
  </w:style>
  <w:style w:type="paragraph" w:customStyle="1" w:styleId="SubHeading1">
    <w:name w:val="SubHeading1"/>
    <w:basedOn w:val="HeadingBase"/>
    <w:rsid w:val="002E26B8"/>
    <w:pPr>
      <w:spacing w:before="240" w:after="60"/>
    </w:pPr>
    <w:rPr>
      <w:color w:val="918585"/>
      <w:sz w:val="22"/>
    </w:rPr>
  </w:style>
  <w:style w:type="paragraph" w:customStyle="1" w:styleId="SideHeading">
    <w:name w:val="Side Heading"/>
    <w:basedOn w:val="HeadingBase"/>
    <w:rsid w:val="002E26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26B8"/>
    <w:pPr>
      <w:numPr>
        <w:numId w:val="10"/>
      </w:numPr>
    </w:pPr>
  </w:style>
  <w:style w:type="paragraph" w:styleId="PlainText">
    <w:name w:val="Plain Text"/>
    <w:basedOn w:val="Normal"/>
    <w:link w:val="PlainTextChar"/>
    <w:rsid w:val="002E26B8"/>
    <w:rPr>
      <w:sz w:val="20"/>
    </w:rPr>
  </w:style>
  <w:style w:type="character" w:customStyle="1" w:styleId="PlainTextChar">
    <w:name w:val="Plain Text Char"/>
    <w:basedOn w:val="DefaultParagraphFont"/>
    <w:link w:val="PlainText"/>
    <w:rsid w:val="002E26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26B8"/>
    <w:rPr>
      <w:b/>
      <w:smallCaps/>
    </w:rPr>
  </w:style>
  <w:style w:type="paragraph" w:customStyle="1" w:styleId="TableListNumber">
    <w:name w:val="Table List Number"/>
    <w:basedOn w:val="ListNumber"/>
    <w:rsid w:val="002E26B8"/>
    <w:pPr>
      <w:numPr>
        <w:numId w:val="0"/>
      </w:numPr>
    </w:pPr>
  </w:style>
  <w:style w:type="paragraph" w:styleId="TOC4">
    <w:name w:val="toc 4"/>
    <w:basedOn w:val="TOCBase"/>
    <w:next w:val="Normal"/>
    <w:semiHidden/>
    <w:rsid w:val="002E26B8"/>
    <w:pPr>
      <w:tabs>
        <w:tab w:val="right" w:leader="dot" w:pos="9071"/>
      </w:tabs>
      <w:ind w:left="1701"/>
    </w:pPr>
  </w:style>
  <w:style w:type="paragraph" w:customStyle="1" w:styleId="ListAlpha">
    <w:name w:val="List Alpha"/>
    <w:basedOn w:val="List"/>
    <w:rsid w:val="002E26B8"/>
    <w:pPr>
      <w:numPr>
        <w:numId w:val="7"/>
      </w:numPr>
    </w:pPr>
  </w:style>
  <w:style w:type="paragraph" w:customStyle="1" w:styleId="ListAlpha2">
    <w:name w:val="List Alpha 2"/>
    <w:basedOn w:val="List2"/>
    <w:rsid w:val="002E26B8"/>
    <w:pPr>
      <w:numPr>
        <w:numId w:val="6"/>
      </w:numPr>
    </w:pPr>
  </w:style>
  <w:style w:type="paragraph" w:styleId="List2">
    <w:name w:val="List 2"/>
    <w:basedOn w:val="BodyText"/>
    <w:rsid w:val="002E26B8"/>
    <w:pPr>
      <w:tabs>
        <w:tab w:val="left" w:pos="680"/>
      </w:tabs>
      <w:spacing w:before="60" w:after="60"/>
      <w:ind w:left="680" w:hanging="340"/>
    </w:pPr>
  </w:style>
  <w:style w:type="paragraph" w:styleId="List3">
    <w:name w:val="List 3"/>
    <w:basedOn w:val="BodyText"/>
    <w:rsid w:val="002E26B8"/>
    <w:pPr>
      <w:tabs>
        <w:tab w:val="left" w:pos="1021"/>
      </w:tabs>
      <w:spacing w:before="60" w:after="60"/>
      <w:ind w:left="1020" w:hanging="340"/>
    </w:pPr>
  </w:style>
  <w:style w:type="paragraph" w:styleId="List4">
    <w:name w:val="List 4"/>
    <w:basedOn w:val="BodyText"/>
    <w:rsid w:val="002E26B8"/>
    <w:pPr>
      <w:tabs>
        <w:tab w:val="left" w:pos="1361"/>
      </w:tabs>
      <w:spacing w:before="60" w:after="60"/>
      <w:ind w:left="1361" w:hanging="340"/>
    </w:pPr>
  </w:style>
  <w:style w:type="paragraph" w:styleId="List5">
    <w:name w:val="List 5"/>
    <w:basedOn w:val="BodyText"/>
    <w:rsid w:val="002E26B8"/>
    <w:pPr>
      <w:tabs>
        <w:tab w:val="left" w:pos="1701"/>
      </w:tabs>
      <w:spacing w:before="60" w:after="60"/>
      <w:ind w:left="1701" w:hanging="340"/>
    </w:pPr>
  </w:style>
  <w:style w:type="paragraph" w:styleId="ListBullet3">
    <w:name w:val="List Bullet 3"/>
    <w:basedOn w:val="List3"/>
    <w:rsid w:val="002E26B8"/>
    <w:pPr>
      <w:numPr>
        <w:numId w:val="13"/>
      </w:numPr>
      <w:tabs>
        <w:tab w:val="clear" w:pos="1021"/>
      </w:tabs>
      <w:ind w:left="1037" w:hanging="357"/>
    </w:pPr>
  </w:style>
  <w:style w:type="paragraph" w:styleId="ListBullet4">
    <w:name w:val="List Bullet 4"/>
    <w:basedOn w:val="List4"/>
    <w:rsid w:val="002E26B8"/>
    <w:pPr>
      <w:numPr>
        <w:numId w:val="1"/>
      </w:numPr>
    </w:pPr>
  </w:style>
  <w:style w:type="paragraph" w:styleId="ListBullet5">
    <w:name w:val="List Bullet 5"/>
    <w:basedOn w:val="List5"/>
    <w:rsid w:val="002E26B8"/>
    <w:pPr>
      <w:numPr>
        <w:numId w:val="2"/>
      </w:numPr>
    </w:pPr>
  </w:style>
  <w:style w:type="paragraph" w:styleId="ListContinue2">
    <w:name w:val="List Continue 2"/>
    <w:basedOn w:val="List2"/>
    <w:rsid w:val="002E26B8"/>
    <w:pPr>
      <w:ind w:firstLine="0"/>
    </w:pPr>
  </w:style>
  <w:style w:type="paragraph" w:styleId="ListContinue3">
    <w:name w:val="List Continue 3"/>
    <w:basedOn w:val="List3"/>
    <w:rsid w:val="002E26B8"/>
    <w:pPr>
      <w:ind w:left="1021" w:firstLine="0"/>
    </w:pPr>
  </w:style>
  <w:style w:type="paragraph" w:styleId="ListContinue4">
    <w:name w:val="List Continue 4"/>
    <w:basedOn w:val="List4"/>
    <w:rsid w:val="002E26B8"/>
    <w:pPr>
      <w:ind w:firstLine="0"/>
    </w:pPr>
  </w:style>
  <w:style w:type="paragraph" w:styleId="ListContinue5">
    <w:name w:val="List Continue 5"/>
    <w:basedOn w:val="List5"/>
    <w:rsid w:val="002E26B8"/>
    <w:pPr>
      <w:ind w:firstLine="0"/>
    </w:pPr>
  </w:style>
  <w:style w:type="paragraph" w:styleId="ListNumber3">
    <w:name w:val="List Number 3"/>
    <w:basedOn w:val="List3"/>
    <w:rsid w:val="002E26B8"/>
    <w:pPr>
      <w:numPr>
        <w:numId w:val="3"/>
      </w:numPr>
    </w:pPr>
  </w:style>
  <w:style w:type="paragraph" w:styleId="ListNumber4">
    <w:name w:val="List Number 4"/>
    <w:basedOn w:val="List4"/>
    <w:rsid w:val="002E26B8"/>
    <w:pPr>
      <w:numPr>
        <w:numId w:val="4"/>
      </w:numPr>
    </w:pPr>
  </w:style>
  <w:style w:type="paragraph" w:styleId="ListNumber5">
    <w:name w:val="List Number 5"/>
    <w:basedOn w:val="List5"/>
    <w:rsid w:val="002E26B8"/>
    <w:pPr>
      <w:numPr>
        <w:numId w:val="5"/>
      </w:numPr>
    </w:pPr>
  </w:style>
  <w:style w:type="paragraph" w:styleId="BlockText">
    <w:name w:val="Block Text"/>
    <w:basedOn w:val="Normal"/>
    <w:rsid w:val="002E26B8"/>
    <w:pPr>
      <w:spacing w:after="120"/>
      <w:ind w:left="1440" w:right="1440"/>
    </w:pPr>
  </w:style>
  <w:style w:type="character" w:customStyle="1" w:styleId="Subscript">
    <w:name w:val="Subscript"/>
    <w:basedOn w:val="DefaultParagraphFont"/>
    <w:rsid w:val="002E26B8"/>
    <w:rPr>
      <w:sz w:val="16"/>
      <w:vertAlign w:val="subscript"/>
    </w:rPr>
  </w:style>
  <w:style w:type="character" w:customStyle="1" w:styleId="Superscript">
    <w:name w:val="Superscript"/>
    <w:basedOn w:val="DefaultParagraphFont"/>
    <w:rsid w:val="002E26B8"/>
    <w:rPr>
      <w:sz w:val="16"/>
      <w:vertAlign w:val="superscript"/>
    </w:rPr>
  </w:style>
  <w:style w:type="character" w:customStyle="1" w:styleId="Symbols">
    <w:name w:val="Symbols"/>
    <w:basedOn w:val="DefaultParagraphFont"/>
    <w:rsid w:val="002E26B8"/>
    <w:rPr>
      <w:rFonts w:ascii="Symbol" w:hAnsi="Symbol"/>
    </w:rPr>
  </w:style>
  <w:style w:type="character" w:customStyle="1" w:styleId="MenuOptions">
    <w:name w:val="Menu Options"/>
    <w:basedOn w:val="DefaultParagraphFont"/>
    <w:rsid w:val="002E26B8"/>
    <w:rPr>
      <w:rFonts w:ascii="Arial Narrow" w:hAnsi="Arial Narrow"/>
      <w:smallCaps/>
    </w:rPr>
  </w:style>
  <w:style w:type="character" w:customStyle="1" w:styleId="Buttons">
    <w:name w:val="Buttons"/>
    <w:basedOn w:val="DefaultParagraphFont"/>
    <w:rsid w:val="002E26B8"/>
    <w:rPr>
      <w:b/>
    </w:rPr>
  </w:style>
  <w:style w:type="character" w:customStyle="1" w:styleId="Underlined">
    <w:name w:val="Underlined"/>
    <w:basedOn w:val="DefaultParagraphFont"/>
    <w:rsid w:val="002E26B8"/>
    <w:rPr>
      <w:u w:val="single"/>
    </w:rPr>
  </w:style>
  <w:style w:type="paragraph" w:customStyle="1" w:styleId="TableBodyTextRight">
    <w:name w:val="Table Body Text Right"/>
    <w:basedOn w:val="TableBodyText"/>
    <w:rsid w:val="002E26B8"/>
    <w:pPr>
      <w:widowControl w:val="0"/>
      <w:autoSpaceDE w:val="0"/>
      <w:autoSpaceDN w:val="0"/>
      <w:adjustRightInd w:val="0"/>
      <w:jc w:val="right"/>
    </w:pPr>
    <w:rPr>
      <w:rFonts w:cs="Arial"/>
      <w:szCs w:val="18"/>
    </w:rPr>
  </w:style>
  <w:style w:type="paragraph" w:customStyle="1" w:styleId="CopyrightText">
    <w:name w:val="Copyright Text"/>
    <w:basedOn w:val="BodyText"/>
    <w:rsid w:val="002E26B8"/>
    <w:rPr>
      <w:sz w:val="18"/>
    </w:rPr>
  </w:style>
  <w:style w:type="paragraph" w:customStyle="1" w:styleId="BodySmallRight">
    <w:name w:val="Body Small Right"/>
    <w:basedOn w:val="BodyTextRight"/>
    <w:rsid w:val="002E26B8"/>
    <w:rPr>
      <w:sz w:val="18"/>
      <w:szCs w:val="18"/>
    </w:rPr>
  </w:style>
  <w:style w:type="paragraph" w:customStyle="1" w:styleId="MarginEdition">
    <w:name w:val="Margin Edition"/>
    <w:basedOn w:val="MarginNote"/>
    <w:rsid w:val="002E26B8"/>
    <w:pPr>
      <w:spacing w:before="0" w:after="0"/>
    </w:pPr>
    <w:rPr>
      <w:rFonts w:ascii="Times New Roman" w:hAnsi="Times New Roman"/>
      <w:color w:val="999999"/>
    </w:rPr>
  </w:style>
  <w:style w:type="paragraph" w:customStyle="1" w:styleId="Spacer">
    <w:name w:val="Spacer"/>
    <w:basedOn w:val="Normal"/>
    <w:rsid w:val="002E26B8"/>
    <w:rPr>
      <w:sz w:val="2"/>
      <w:szCs w:val="2"/>
    </w:rPr>
  </w:style>
  <w:style w:type="character" w:customStyle="1" w:styleId="Small">
    <w:name w:val="Small"/>
    <w:basedOn w:val="DefaultParagraphFont"/>
    <w:rsid w:val="002E26B8"/>
    <w:rPr>
      <w:sz w:val="16"/>
    </w:rPr>
  </w:style>
  <w:style w:type="paragraph" w:customStyle="1" w:styleId="WideTable">
    <w:name w:val="Wide Table"/>
    <w:basedOn w:val="Normal"/>
    <w:rsid w:val="002E26B8"/>
    <w:pPr>
      <w:ind w:left="-1418"/>
    </w:pPr>
    <w:rPr>
      <w:sz w:val="2"/>
      <w:szCs w:val="2"/>
    </w:rPr>
  </w:style>
  <w:style w:type="character" w:styleId="PageNumber">
    <w:name w:val="page number"/>
    <w:basedOn w:val="DefaultParagraphFont"/>
    <w:rsid w:val="002E26B8"/>
  </w:style>
  <w:style w:type="paragraph" w:styleId="Quote">
    <w:name w:val="Quote"/>
    <w:basedOn w:val="Heading1"/>
    <w:link w:val="QuoteChar"/>
    <w:qFormat/>
    <w:rsid w:val="002E26B8"/>
    <w:rPr>
      <w:b w:val="0"/>
      <w:sz w:val="72"/>
      <w:szCs w:val="72"/>
      <w:lang w:val="en-NZ"/>
    </w:rPr>
  </w:style>
  <w:style w:type="character" w:customStyle="1" w:styleId="QuoteChar">
    <w:name w:val="Quote Char"/>
    <w:basedOn w:val="DefaultParagraphFont"/>
    <w:link w:val="Quote"/>
    <w:rsid w:val="002E26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26B8"/>
    <w:pPr>
      <w:pageBreakBefore/>
    </w:pPr>
  </w:style>
  <w:style w:type="paragraph" w:customStyle="1" w:styleId="Border">
    <w:name w:val="Border"/>
    <w:basedOn w:val="Normal"/>
    <w:qFormat/>
    <w:rsid w:val="002E26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26B8"/>
    <w:rPr>
      <w:b/>
      <w:bCs/>
      <w:i/>
      <w:iCs/>
      <w:color w:val="auto"/>
    </w:rPr>
  </w:style>
  <w:style w:type="paragraph" w:styleId="IntenseQuote">
    <w:name w:val="Intense Quote"/>
    <w:basedOn w:val="Normal"/>
    <w:next w:val="Normal"/>
    <w:link w:val="IntenseQuoteChar"/>
    <w:uiPriority w:val="30"/>
    <w:qFormat/>
    <w:rsid w:val="002E26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26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26B8"/>
    <w:rPr>
      <w:smallCaps/>
      <w:color w:val="auto"/>
      <w:u w:val="single"/>
    </w:rPr>
  </w:style>
  <w:style w:type="character" w:styleId="IntenseReference">
    <w:name w:val="Intense Reference"/>
    <w:basedOn w:val="DefaultParagraphFont"/>
    <w:uiPriority w:val="32"/>
    <w:qFormat/>
    <w:rsid w:val="002E26B8"/>
    <w:rPr>
      <w:b/>
      <w:bCs/>
      <w:smallCaps/>
      <w:color w:val="auto"/>
      <w:spacing w:val="5"/>
      <w:u w:val="single"/>
    </w:rPr>
  </w:style>
  <w:style w:type="paragraph" w:customStyle="1" w:styleId="2ColumnHeading">
    <w:name w:val="2Column Heading"/>
    <w:basedOn w:val="BodyText"/>
    <w:qFormat/>
    <w:rsid w:val="002E26B8"/>
    <w:pPr>
      <w:spacing w:after="60"/>
      <w:ind w:left="-2268"/>
    </w:pPr>
    <w:rPr>
      <w:b/>
    </w:rPr>
  </w:style>
  <w:style w:type="paragraph" w:customStyle="1" w:styleId="Heading1TOC">
    <w:name w:val="Heading1 TOC"/>
    <w:basedOn w:val="Normal"/>
    <w:qFormat/>
    <w:rsid w:val="002E26B8"/>
    <w:pPr>
      <w:spacing w:before="240" w:after="120"/>
    </w:pPr>
    <w:rPr>
      <w:rFonts w:ascii="Times New Roman" w:hAnsi="Times New Roman"/>
      <w:b/>
      <w:sz w:val="32"/>
    </w:rPr>
  </w:style>
  <w:style w:type="paragraph" w:customStyle="1" w:styleId="Heading2TOC">
    <w:name w:val="Heading2 TOC"/>
    <w:basedOn w:val="Normal"/>
    <w:qFormat/>
    <w:rsid w:val="002E26B8"/>
    <w:pPr>
      <w:spacing w:before="240" w:after="60"/>
    </w:pPr>
    <w:rPr>
      <w:rFonts w:ascii="Times New Roman" w:hAnsi="Times New Roman"/>
      <w:b/>
      <w:sz w:val="28"/>
    </w:rPr>
  </w:style>
  <w:style w:type="character" w:customStyle="1" w:styleId="Underline">
    <w:name w:val="Underline"/>
    <w:basedOn w:val="DefaultParagraphFont"/>
    <w:qFormat/>
    <w:rsid w:val="002E26B8"/>
    <w:rPr>
      <w:u w:val="single"/>
    </w:rPr>
  </w:style>
  <w:style w:type="character" w:customStyle="1" w:styleId="BoldandItalics">
    <w:name w:val="Bold and Italics"/>
    <w:qFormat/>
    <w:rsid w:val="002E26B8"/>
    <w:rPr>
      <w:b/>
      <w:i/>
      <w:u w:val="none"/>
    </w:rPr>
  </w:style>
  <w:style w:type="paragraph" w:styleId="BalloonText">
    <w:name w:val="Balloon Text"/>
    <w:basedOn w:val="Normal"/>
    <w:link w:val="BalloonTextChar"/>
    <w:rsid w:val="002E26B8"/>
    <w:rPr>
      <w:rFonts w:ascii="Tahoma" w:hAnsi="Tahoma" w:cs="Tahoma"/>
      <w:sz w:val="16"/>
      <w:szCs w:val="16"/>
    </w:rPr>
  </w:style>
  <w:style w:type="character" w:customStyle="1" w:styleId="BalloonTextChar">
    <w:name w:val="Balloon Text Char"/>
    <w:basedOn w:val="DefaultParagraphFont"/>
    <w:link w:val="BalloonText"/>
    <w:rsid w:val="002E26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26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26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2261</Words>
  <Characters>13528</Characters>
  <Application>Microsoft Office Word</Application>
  <DocSecurity>0</DocSecurity>
  <Lines>529</Lines>
  <Paragraphs>274</Paragraphs>
  <ScaleCrop>false</ScaleCrop>
  <Company>Author-it Software Corporation Ltd.</Company>
  <LinksUpToDate>false</LinksUpToDate>
  <CharactersWithSpaces>15601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CHCAC318A Work effectively with older people</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2012-05-26T22:45:00Z</dcterms:created>
  <dcterms:modified xsi:type="dcterms:W3CDTF">2012-05-26T22:45:00Z</dcterms:modified>
</cp:coreProperties>
</file>