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2408" w:rsidP="00E724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CHCYTH014 Work effectively with young people in the youth work context</w:t>
      </w:r>
      <w:r>
        <w:fldChar w:fldCharType="end"/>
      </w:r>
    </w:p>
    <w:p w:rsidR="00E72408" w:rsidP="00E72408">
      <w:pPr>
        <w:pStyle w:val="Version"/>
        <w:sectPr w:rsidSect="00D666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663F" w:rsidP="00D6663F">
      <w:pPr>
        <w:pStyle w:val="SuperHeading"/>
      </w:pPr>
      <w:r w:rsidRPr="00D6663F">
        <w:t>CHCYTH014</w:t>
      </w:r>
      <w:r w:rsidRPr="00D6663F">
        <w:t xml:space="preserve"> Work effectively with young people in the youth work context</w:t>
      </w:r>
    </w:p>
    <w:p w:rsidR="00000000" w:rsidRPr="00D6663F" w:rsidP="00D6663F">
      <w:pPr>
        <w:pStyle w:val="Heading1"/>
      </w:pPr>
      <w:bookmarkStart w:id="1" w:name="O_1277977"/>
      <w:bookmarkEnd w:id="1"/>
      <w:r w:rsidRPr="00D6663F">
        <w:t>Modification History</w:t>
      </w:r>
    </w:p>
    <w:p w:rsidR="00000000" w:rsidRPr="00D6663F" w:rsidP="00E72408">
      <w:pPr>
        <w:pStyle w:val="BodyText"/>
      </w:pPr>
      <w:r w:rsidRPr="00D6663F">
        <w:t>Not applicable.</w:t>
      </w:r>
    </w:p>
    <w:p w:rsidR="00000000" w:rsidRPr="00D6663F" w:rsidP="00D6663F">
      <w:pPr>
        <w:pStyle w:val="Heading1"/>
      </w:pPr>
      <w:bookmarkStart w:id="2" w:name="O_1277982"/>
      <w:bookmarkEnd w:id="2"/>
      <w:r w:rsidRPr="00D6663F">
        <w:t>Application</w:t>
      </w:r>
    </w:p>
    <w:p w:rsidR="00000000" w:rsidRPr="00D6663F" w:rsidP="00E72408">
      <w:pPr>
        <w:pStyle w:val="BodyText"/>
      </w:pPr>
      <w:r w:rsidRPr="00D6663F">
        <w:t>This unit describes the performance outcomes, skills and knowledge required to work in the youth work context.</w:t>
      </w:r>
    </w:p>
    <w:p w:rsidR="00000000" w:rsidRPr="00D6663F" w:rsidP="00E72408">
      <w:pPr>
        <w:pStyle w:val="BodyText"/>
      </w:pPr>
      <w:r w:rsidRPr="00D6663F">
        <w:t>The unit focuses on historical and contemporary youth sector practice and understanding of the current status of young people.</w:t>
      </w:r>
    </w:p>
    <w:p w:rsidR="00000000" w:rsidRPr="00D6663F" w:rsidP="00E72408">
      <w:pPr>
        <w:pStyle w:val="BodyText"/>
      </w:pPr>
      <w:r w:rsidRPr="00D6663F">
        <w:t>This unit applie</w:t>
      </w:r>
      <w:r w:rsidRPr="00D6663F">
        <w:t>s to work undertaken in all youth work roles where the young person is the primary client.</w:t>
      </w:r>
    </w:p>
    <w:p w:rsidR="00000000" w:rsidRPr="00D6663F" w:rsidP="00E72408">
      <w:pPr>
        <w:pStyle w:val="BodyText"/>
      </w:pPr>
      <w:r w:rsidRPr="00D6663F">
        <w:t>The skills in this unit must be applied in accordance with Commonwealth and State or Territory legislation, Australian standards and industry codes of practice.</w:t>
      </w:r>
    </w:p>
    <w:p w:rsidR="00000000" w:rsidRPr="00D6663F" w:rsidP="00E72408">
      <w:pPr>
        <w:pStyle w:val="BodyText"/>
      </w:pPr>
      <w:r w:rsidRPr="00D6663F">
        <w:t>No</w:t>
      </w:r>
      <w:r w:rsidRPr="00D6663F">
        <w:t xml:space="preserve"> occupational licensing, certification or specific legislative requirements apply to this unit at the time of publication.</w:t>
      </w:r>
    </w:p>
    <w:p w:rsidR="00000000" w:rsidRPr="00D6663F" w:rsidP="00D6663F">
      <w:pPr>
        <w:pStyle w:val="Heading1"/>
      </w:pPr>
      <w:bookmarkStart w:id="3" w:name="O_1278168"/>
      <w:bookmarkEnd w:id="3"/>
      <w:r w:rsidRPr="00D6663F">
        <w:t>Pre-requisite Unit</w:t>
      </w:r>
    </w:p>
    <w:p w:rsidR="00000000" w:rsidRPr="00D6663F" w:rsidP="00E72408">
      <w:pPr>
        <w:pStyle w:val="BodyText"/>
      </w:pPr>
      <w:r w:rsidRPr="00D6663F">
        <w:t>Nil</w:t>
      </w:r>
    </w:p>
    <w:p w:rsidR="00000000" w:rsidRPr="00D6663F" w:rsidP="00D6663F">
      <w:pPr>
        <w:pStyle w:val="Heading1"/>
      </w:pPr>
      <w:bookmarkStart w:id="4" w:name="O_1278169"/>
      <w:bookmarkEnd w:id="4"/>
      <w:r w:rsidRPr="00D6663F">
        <w:t>Competency Field</w:t>
      </w:r>
    </w:p>
    <w:p w:rsidR="00000000" w:rsidRPr="00D6663F" w:rsidP="00E72408">
      <w:pPr>
        <w:pStyle w:val="BodyText"/>
      </w:pPr>
      <w:r w:rsidRPr="00D6663F">
        <w:t>Youth Services</w:t>
      </w:r>
    </w:p>
    <w:p w:rsidR="00000000" w:rsidRPr="00D6663F" w:rsidP="00D6663F">
      <w:pPr>
        <w:pStyle w:val="Heading1"/>
      </w:pPr>
      <w:bookmarkStart w:id="5" w:name="O_1278170"/>
      <w:bookmarkEnd w:id="5"/>
      <w:r w:rsidRPr="00D6663F">
        <w:t>Unit Sector</w:t>
      </w:r>
    </w:p>
    <w:p w:rsidR="00000000" w:rsidRPr="00D6663F" w:rsidP="00E72408">
      <w:pPr>
        <w:pStyle w:val="BodyText"/>
      </w:pPr>
      <w:r w:rsidRPr="00D6663F">
        <w:t>Community</w:t>
      </w:r>
      <w:r w:rsidRPr="00D6663F">
        <w:t xml:space="preserve"> Services</w:t>
      </w:r>
    </w:p>
    <w:p w:rsidR="00000000" w:rsidRPr="00D6663F" w:rsidP="00D6663F">
      <w:pPr>
        <w:pStyle w:val="Heading1"/>
      </w:pPr>
      <w:bookmarkStart w:id="6" w:name="O_1277981"/>
      <w:bookmarkEnd w:id="6"/>
      <w:r w:rsidRPr="00D6663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4"/>
        <w:gridCol w:w="6355"/>
      </w:tblGrid>
      <w:tr w:rsidTr="00D666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63F" w:rsidP="00D6663F">
            <w:pPr>
              <w:pStyle w:val="BodyText"/>
            </w:pPr>
            <w:r w:rsidRPr="00D6663F">
              <w:rPr>
                <w:rStyle w:val="SpecialBold"/>
              </w:rPr>
              <w:t>ELEMENTS</w:t>
            </w:r>
          </w:p>
        </w:tc>
        <w:tc>
          <w:tcPr>
            <w:tcW w:w="6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63F">
            <w:pPr>
              <w:pStyle w:val="BodyText"/>
              <w:rPr>
                <w:lang w:val="en-NZ"/>
              </w:rPr>
            </w:pPr>
            <w:r w:rsidRPr="00D6663F">
              <w:rPr>
                <w:rStyle w:val="SpecialBold"/>
              </w:rPr>
              <w:t>PERFORMANCE</w:t>
            </w:r>
            <w:r w:rsidRPr="00D6663F">
              <w:t xml:space="preserve"> </w:t>
            </w:r>
            <w:r w:rsidRPr="00D6663F">
              <w:rPr>
                <w:rStyle w:val="SpecialBold"/>
              </w:rPr>
              <w:t>CRITERIA</w:t>
            </w:r>
          </w:p>
        </w:tc>
      </w:tr>
      <w:tr w:rsidTr="00D666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63F" w:rsidP="00D6663F">
            <w:pPr>
              <w:pStyle w:val="BodyText"/>
            </w:pPr>
            <w:r w:rsidRPr="00D6663F">
              <w:rPr>
                <w:rStyle w:val="Emphasis"/>
              </w:rPr>
              <w:t>Elements describe the essential outcomes</w:t>
            </w:r>
          </w:p>
        </w:tc>
        <w:tc>
          <w:tcPr>
            <w:tcW w:w="6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63F">
            <w:pPr>
              <w:pStyle w:val="BodyText"/>
              <w:rPr>
                <w:lang w:val="en-NZ"/>
              </w:rPr>
            </w:pPr>
            <w:r w:rsidRPr="00D6663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666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63F">
            <w:pPr>
              <w:pStyle w:val="List"/>
              <w:rPr>
                <w:lang w:val="en-NZ"/>
              </w:rPr>
            </w:pPr>
            <w:r w:rsidRPr="00D6663F">
              <w:t>1.  Interpret and apply social, cultural, historical, economic, legal, political contexts and influence of dominant discourses in perception of young people.</w:t>
            </w:r>
          </w:p>
        </w:tc>
        <w:tc>
          <w:tcPr>
            <w:tcW w:w="6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63F" w:rsidP="00D6663F">
            <w:pPr>
              <w:pStyle w:val="List"/>
            </w:pPr>
            <w:r w:rsidRPr="00D6663F">
              <w:t>1.1. Research, analyse and maintain up-to-date knowledge and awareness of the social, cultural, po</w:t>
            </w:r>
            <w:r w:rsidRPr="00D6663F">
              <w:t>litical, economic and legal contexts of young people.</w:t>
            </w:r>
          </w:p>
          <w:p w:rsidR="00000000" w:rsidRPr="00D6663F" w:rsidP="00D6663F">
            <w:pPr>
              <w:pStyle w:val="List"/>
            </w:pPr>
            <w:r w:rsidRPr="00D6663F">
              <w:t>1.2. Research, analyse and apply youth policy in practices of youth work.</w:t>
            </w:r>
          </w:p>
          <w:p w:rsidR="00000000" w:rsidRPr="00D6663F" w:rsidP="00D6663F">
            <w:pPr>
              <w:pStyle w:val="List"/>
            </w:pPr>
            <w:r w:rsidRPr="00D6663F">
              <w:t>1.3. Seek information about, and reflect upon, the intergenerational influences on behaviour and world view.</w:t>
            </w:r>
          </w:p>
          <w:p w:rsidR="00000000" w:rsidP="00D6663F">
            <w:pPr>
              <w:pStyle w:val="List"/>
              <w:rPr>
                <w:lang w:val="en-NZ"/>
              </w:rPr>
            </w:pPr>
            <w:r w:rsidRPr="00D6663F">
              <w:t xml:space="preserve">1.4. Interpret and </w:t>
            </w:r>
            <w:r w:rsidRPr="00D6663F">
              <w:t>apply historical and cultural perceptions of youth and the changing context of young people to youth work practice.</w:t>
            </w:r>
          </w:p>
        </w:tc>
      </w:tr>
      <w:tr w:rsidTr="00D666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63F">
            <w:pPr>
              <w:pStyle w:val="List"/>
              <w:rPr>
                <w:lang w:val="en-NZ"/>
              </w:rPr>
            </w:pPr>
            <w:r w:rsidRPr="00D6663F">
              <w:t>2.  Interpret and apply context of youth work drawing on critical youth work theory and practice.</w:t>
            </w:r>
          </w:p>
        </w:tc>
        <w:tc>
          <w:tcPr>
            <w:tcW w:w="6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63F" w:rsidP="00D6663F">
            <w:pPr>
              <w:pStyle w:val="List"/>
            </w:pPr>
            <w:r w:rsidRPr="00D6663F">
              <w:t>2.1. Interpret and apply youth contexts to youth work practice.</w:t>
            </w:r>
          </w:p>
          <w:p w:rsidR="00000000" w:rsidRPr="00D6663F" w:rsidP="00D6663F">
            <w:pPr>
              <w:pStyle w:val="List"/>
            </w:pPr>
            <w:r w:rsidRPr="00D6663F">
              <w:t>2.2. Identify legal frameworks which impact on context of youth work.</w:t>
            </w:r>
          </w:p>
          <w:p w:rsidR="00000000" w:rsidRPr="00D6663F" w:rsidP="00D6663F">
            <w:pPr>
              <w:pStyle w:val="List"/>
            </w:pPr>
            <w:r w:rsidRPr="00D6663F">
              <w:t>2.3. Research and apply models and frameworks of youth work in youth work contexts.</w:t>
            </w:r>
          </w:p>
          <w:p w:rsidR="00000000" w:rsidP="00D6663F">
            <w:pPr>
              <w:pStyle w:val="List"/>
              <w:rPr>
                <w:lang w:val="en-NZ"/>
              </w:rPr>
            </w:pPr>
            <w:r w:rsidRPr="00D6663F">
              <w:t>2.4. Interpret youth sector policy and</w:t>
            </w:r>
            <w:r w:rsidRPr="00D6663F">
              <w:t xml:space="preserve"> its local impact.</w:t>
            </w:r>
          </w:p>
        </w:tc>
      </w:tr>
      <w:tr w:rsidTr="00D666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63F">
            <w:pPr>
              <w:pStyle w:val="List"/>
              <w:rPr>
                <w:lang w:val="en-NZ"/>
              </w:rPr>
            </w:pPr>
            <w:r w:rsidRPr="00D6663F">
              <w:t>3.  Work within youth work frameworks and practices.</w:t>
            </w:r>
          </w:p>
        </w:tc>
        <w:tc>
          <w:tcPr>
            <w:tcW w:w="6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63F" w:rsidP="00D6663F">
            <w:pPr>
              <w:pStyle w:val="List"/>
            </w:pPr>
            <w:r w:rsidRPr="00D6663F">
              <w:t>3.1. Ensure supports and interventions are young person-centred.</w:t>
            </w:r>
          </w:p>
          <w:p w:rsidR="00000000" w:rsidRPr="00D6663F" w:rsidP="00D6663F">
            <w:pPr>
              <w:pStyle w:val="List"/>
            </w:pPr>
            <w:r w:rsidRPr="00D6663F">
              <w:t>3.2. Apply practice frameworks to maximise support for the young person as both unique and embedded in social systems.</w:t>
            </w:r>
          </w:p>
          <w:p w:rsidR="00000000" w:rsidRPr="00D6663F" w:rsidP="00D6663F">
            <w:pPr>
              <w:pStyle w:val="List"/>
            </w:pPr>
            <w:r w:rsidRPr="00D6663F">
              <w:t>3.3. Support young person’s agency and right to self-determination.</w:t>
            </w:r>
          </w:p>
          <w:p w:rsidR="00000000" w:rsidRPr="00D6663F" w:rsidP="00D6663F">
            <w:pPr>
              <w:pStyle w:val="List"/>
            </w:pPr>
            <w:r w:rsidRPr="00D6663F">
              <w:t>3.4. Identify risks that impact young people.</w:t>
            </w:r>
          </w:p>
          <w:p w:rsidR="00000000" w:rsidP="00D6663F">
            <w:pPr>
              <w:pStyle w:val="List"/>
              <w:rPr>
                <w:lang w:val="en-NZ"/>
              </w:rPr>
            </w:pPr>
            <w:r w:rsidRPr="00D6663F">
              <w:t>3.5. Identify opportunities for providing dignity to young people and their support systems.</w:t>
            </w:r>
          </w:p>
        </w:tc>
      </w:tr>
      <w:tr w:rsidTr="00D666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63F">
            <w:pPr>
              <w:pStyle w:val="List"/>
              <w:rPr>
                <w:lang w:val="en-NZ"/>
              </w:rPr>
            </w:pPr>
            <w:r w:rsidRPr="00D6663F">
              <w:t>4.  Apply values-based approaches to working wi</w:t>
            </w:r>
            <w:r w:rsidRPr="00D6663F">
              <w:t>th young people.</w:t>
            </w:r>
          </w:p>
        </w:tc>
        <w:tc>
          <w:tcPr>
            <w:tcW w:w="6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63F" w:rsidP="00D6663F">
            <w:pPr>
              <w:pStyle w:val="List"/>
            </w:pPr>
            <w:r w:rsidRPr="00D6663F">
              <w:t>4.1. Critically reflect on own values and experiences which may impact on approaches to youth work.</w:t>
            </w:r>
          </w:p>
          <w:p w:rsidR="00000000" w:rsidRPr="00D6663F" w:rsidP="00D6663F">
            <w:pPr>
              <w:pStyle w:val="List"/>
            </w:pPr>
            <w:r w:rsidRPr="00D6663F">
              <w:t>4.2. Identify privilege and adversities that influence own attitudes, expectations and assumptions in relation to young people.</w:t>
            </w:r>
          </w:p>
          <w:p w:rsidR="00000000" w:rsidRPr="00D6663F" w:rsidP="00D6663F">
            <w:pPr>
              <w:pStyle w:val="List"/>
            </w:pPr>
            <w:r w:rsidRPr="00D6663F">
              <w:t>4.3. Work w</w:t>
            </w:r>
            <w:r w:rsidRPr="00D6663F">
              <w:t>ithin organisational policies, procedures and scope while also advocating for young people.</w:t>
            </w:r>
          </w:p>
          <w:p w:rsidR="00000000" w:rsidRPr="00D6663F" w:rsidP="00D6663F">
            <w:pPr>
              <w:pStyle w:val="List"/>
            </w:pPr>
            <w:r w:rsidRPr="00D6663F">
              <w:t>4.4. Ensure interventions and supports match the young person’s own values.</w:t>
            </w:r>
          </w:p>
        </w:tc>
      </w:tr>
    </w:tbl>
    <w:p w:rsidR="00000000" w:rsidRPr="00D6663F" w:rsidP="00D6663F">
      <w:pPr>
        <w:pStyle w:val="BodyText"/>
      </w:pPr>
    </w:p>
    <w:p w:rsidR="00000000" w:rsidRPr="00D6663F" w:rsidP="00D6663F">
      <w:pPr>
        <w:pStyle w:val="AllowPageBreak"/>
      </w:pPr>
    </w:p>
    <w:p w:rsidR="00000000" w:rsidRPr="00D6663F" w:rsidP="00D6663F">
      <w:pPr>
        <w:pStyle w:val="Heading1"/>
      </w:pPr>
      <w:bookmarkStart w:id="7" w:name="O_1277980"/>
      <w:bookmarkEnd w:id="7"/>
      <w:r w:rsidRPr="00D6663F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D666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63F" w:rsidP="00D6663F">
            <w:pPr>
              <w:pStyle w:val="BodyText"/>
            </w:pPr>
            <w:r w:rsidRPr="00D6663F">
              <w:rPr>
                <w:rStyle w:val="Emphasis"/>
              </w:rPr>
              <w:t>Foundation skills essential to performance are explicit in the performance criteria of this unit of competency.</w:t>
            </w:r>
          </w:p>
        </w:tc>
      </w:tr>
    </w:tbl>
    <w:p w:rsidR="00000000" w:rsidRPr="00D6663F" w:rsidP="00D6663F">
      <w:pPr>
        <w:pStyle w:val="BodyText"/>
      </w:pPr>
    </w:p>
    <w:p w:rsidR="00000000" w:rsidRPr="00D6663F" w:rsidP="00D6663F">
      <w:pPr>
        <w:pStyle w:val="AllowPageBreak"/>
      </w:pPr>
    </w:p>
    <w:p w:rsidR="00000000" w:rsidRPr="00D6663F" w:rsidP="00D6663F">
      <w:pPr>
        <w:pStyle w:val="Heading1"/>
      </w:pPr>
      <w:bookmarkStart w:id="8" w:name="O_1277978"/>
      <w:bookmarkEnd w:id="8"/>
      <w:r w:rsidRPr="00D6663F">
        <w:t>Unit Mapping Information</w:t>
      </w:r>
    </w:p>
    <w:p w:rsidR="00000000" w:rsidRPr="00D6663F" w:rsidP="00E72408">
      <w:pPr>
        <w:pStyle w:val="BodyText"/>
      </w:pPr>
      <w:r w:rsidRPr="00D6663F">
        <w:t>Supersedes and is</w:t>
      </w:r>
      <w:r w:rsidRPr="00D6663F">
        <w:rPr>
          <w:rStyle w:val="SpecialBold"/>
        </w:rPr>
        <w:t xml:space="preserve"> </w:t>
      </w:r>
      <w:r w:rsidRPr="00D6663F">
        <w:t>equivalent to CHCYTH002 Work effectively with young people in the youth work con</w:t>
      </w:r>
      <w:r w:rsidRPr="00D6663F">
        <w:t>text.</w:t>
      </w:r>
    </w:p>
    <w:p w:rsidR="00000000" w:rsidRPr="00D6663F" w:rsidP="00D6663F">
      <w:pPr>
        <w:pStyle w:val="Heading1"/>
      </w:pPr>
      <w:bookmarkStart w:id="9" w:name="O_1277971"/>
      <w:bookmarkEnd w:id="9"/>
      <w:r w:rsidRPr="00D6663F">
        <w:t>Links</w:t>
      </w:r>
    </w:p>
    <w:p w:rsidR="00000000" w:rsidRPr="00D6663F" w:rsidP="00E72408">
      <w:pPr>
        <w:pStyle w:val="BodyText"/>
      </w:pPr>
      <w:r w:rsidRPr="00D6663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DB4C47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D6663F" w:rsidP="00D6663F"/>
    <w:sectPr w:rsidSect="00D6663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6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63F" w:rsidRPr="00E72408" w:rsidP="00E724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6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408" w:rsidP="00D666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72408" w:rsidP="00D666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72408" w:rsidP="00D666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6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4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663F" w:rsidRPr="00E72408" w:rsidP="00E724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6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408" w:rsidRPr="002D2AF8" w:rsidP="00D666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CHCYTH014 Work effectively with young people in the youth work context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E72408" w:rsidP="00D666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66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66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66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66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66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66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66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66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66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66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66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663F"/>
  </w:style>
  <w:style w:type="character" w:customStyle="1" w:styleId="Heading1Char">
    <w:name w:val="Heading 1 Char"/>
    <w:basedOn w:val="DefaultParagraphFont"/>
    <w:link w:val="Heading1"/>
    <w:rsid w:val="00D666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66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663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6663F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D6663F"/>
    <w:rPr>
      <w:b/>
      <w:spacing w:val="0"/>
    </w:rPr>
  </w:style>
  <w:style w:type="character" w:styleId="Emphasis">
    <w:name w:val="Emphasis"/>
    <w:basedOn w:val="DefaultParagraphFont"/>
    <w:qFormat/>
    <w:rsid w:val="00D6663F"/>
    <w:rPr>
      <w:i/>
    </w:rPr>
  </w:style>
  <w:style w:type="paragraph" w:customStyle="1" w:styleId="SuperHeading">
    <w:name w:val="SuperHeading"/>
    <w:basedOn w:val="Normal"/>
    <w:rsid w:val="00D666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66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666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66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66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66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66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66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66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66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66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66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66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66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66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66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66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66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66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663F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D6663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666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66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66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66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6663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666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66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66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66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66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66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66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66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663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666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66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66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663F"/>
  </w:style>
  <w:style w:type="paragraph" w:styleId="TableofFigures">
    <w:name w:val="table of figures"/>
    <w:basedOn w:val="Normal"/>
    <w:next w:val="Normal"/>
    <w:semiHidden/>
    <w:rsid w:val="00D666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663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6663F"/>
    <w:rPr>
      <w:rFonts w:ascii="Wingdings" w:hAnsi="Wingdings"/>
    </w:rPr>
  </w:style>
  <w:style w:type="paragraph" w:customStyle="1" w:styleId="TableHeading">
    <w:name w:val="Table Heading"/>
    <w:basedOn w:val="HeadingBase"/>
    <w:rsid w:val="00D666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663F"/>
    <w:rPr>
      <w:color w:val="0033CC"/>
      <w:u w:val="none"/>
    </w:rPr>
  </w:style>
  <w:style w:type="paragraph" w:customStyle="1" w:styleId="BodyTextRight">
    <w:name w:val="Body Text Right"/>
    <w:basedOn w:val="BodyText"/>
    <w:rsid w:val="00D666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66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663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66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66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66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663F"/>
    <w:rPr>
      <w:sz w:val="32"/>
    </w:rPr>
  </w:style>
  <w:style w:type="paragraph" w:customStyle="1" w:styleId="HeadingProcedure">
    <w:name w:val="Heading Procedure"/>
    <w:basedOn w:val="HeadingBase"/>
    <w:next w:val="Normal"/>
    <w:rsid w:val="00D666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663F"/>
    <w:pPr>
      <w:spacing w:before="60" w:after="60"/>
    </w:pPr>
  </w:style>
  <w:style w:type="paragraph" w:styleId="ListContinue">
    <w:name w:val="List Continue"/>
    <w:basedOn w:val="List"/>
    <w:rsid w:val="00D6663F"/>
    <w:pPr>
      <w:ind w:firstLine="0"/>
    </w:pPr>
  </w:style>
  <w:style w:type="paragraph" w:customStyle="1" w:styleId="ListNote">
    <w:name w:val="List Note"/>
    <w:basedOn w:val="List"/>
    <w:rsid w:val="00D666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66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66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663F"/>
    <w:rPr>
      <w:rFonts w:ascii="Courier New" w:hAnsi="Courier New"/>
    </w:rPr>
  </w:style>
  <w:style w:type="paragraph" w:customStyle="1" w:styleId="NoteBullet">
    <w:name w:val="Note Bullet"/>
    <w:basedOn w:val="Note"/>
    <w:rsid w:val="00D666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66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66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66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663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666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66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663F"/>
    <w:rPr>
      <w:b/>
      <w:smallCaps/>
    </w:rPr>
  </w:style>
  <w:style w:type="paragraph" w:customStyle="1" w:styleId="TableListNumber">
    <w:name w:val="Table List Number"/>
    <w:basedOn w:val="ListNumber"/>
    <w:rsid w:val="00D666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66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663F"/>
    <w:pPr>
      <w:numPr>
        <w:numId w:val="7"/>
      </w:numPr>
    </w:pPr>
  </w:style>
  <w:style w:type="paragraph" w:customStyle="1" w:styleId="ListAlpha2">
    <w:name w:val="List Alpha 2"/>
    <w:basedOn w:val="List2"/>
    <w:rsid w:val="00D6663F"/>
    <w:pPr>
      <w:numPr>
        <w:numId w:val="6"/>
      </w:numPr>
    </w:pPr>
  </w:style>
  <w:style w:type="paragraph" w:styleId="List2">
    <w:name w:val="List 2"/>
    <w:basedOn w:val="BodyText"/>
    <w:rsid w:val="00D666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66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66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66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663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663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6663F"/>
    <w:pPr>
      <w:numPr>
        <w:numId w:val="2"/>
      </w:numPr>
    </w:pPr>
  </w:style>
  <w:style w:type="paragraph" w:styleId="ListContinue2">
    <w:name w:val="List Continue 2"/>
    <w:basedOn w:val="List2"/>
    <w:rsid w:val="00D6663F"/>
    <w:pPr>
      <w:ind w:firstLine="0"/>
    </w:pPr>
  </w:style>
  <w:style w:type="paragraph" w:styleId="ListContinue3">
    <w:name w:val="List Continue 3"/>
    <w:basedOn w:val="List3"/>
    <w:rsid w:val="00D6663F"/>
    <w:pPr>
      <w:ind w:left="1021" w:firstLine="0"/>
    </w:pPr>
  </w:style>
  <w:style w:type="paragraph" w:styleId="ListContinue4">
    <w:name w:val="List Continue 4"/>
    <w:basedOn w:val="List4"/>
    <w:rsid w:val="00D6663F"/>
    <w:pPr>
      <w:ind w:firstLine="0"/>
    </w:pPr>
  </w:style>
  <w:style w:type="paragraph" w:styleId="ListContinue5">
    <w:name w:val="List Continue 5"/>
    <w:basedOn w:val="List5"/>
    <w:rsid w:val="00D6663F"/>
    <w:pPr>
      <w:ind w:firstLine="0"/>
    </w:pPr>
  </w:style>
  <w:style w:type="paragraph" w:styleId="ListNumber3">
    <w:name w:val="List Number 3"/>
    <w:basedOn w:val="List3"/>
    <w:rsid w:val="00D6663F"/>
    <w:pPr>
      <w:numPr>
        <w:numId w:val="3"/>
      </w:numPr>
    </w:pPr>
  </w:style>
  <w:style w:type="paragraph" w:styleId="ListNumber4">
    <w:name w:val="List Number 4"/>
    <w:basedOn w:val="List4"/>
    <w:rsid w:val="00D6663F"/>
    <w:pPr>
      <w:numPr>
        <w:numId w:val="4"/>
      </w:numPr>
    </w:pPr>
  </w:style>
  <w:style w:type="paragraph" w:styleId="ListNumber5">
    <w:name w:val="List Number 5"/>
    <w:basedOn w:val="List5"/>
    <w:rsid w:val="00D6663F"/>
    <w:pPr>
      <w:numPr>
        <w:numId w:val="5"/>
      </w:numPr>
    </w:pPr>
  </w:style>
  <w:style w:type="paragraph" w:styleId="BlockText">
    <w:name w:val="Block Text"/>
    <w:basedOn w:val="Normal"/>
    <w:rsid w:val="00D666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66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663F"/>
    <w:rPr>
      <w:sz w:val="16"/>
      <w:vertAlign w:val="superscript"/>
    </w:rPr>
  </w:style>
  <w:style w:type="character" w:customStyle="1" w:styleId="Symbols">
    <w:name w:val="Symbols"/>
    <w:basedOn w:val="DefaultParagraphFont"/>
    <w:rsid w:val="00D6663F"/>
    <w:rPr>
      <w:rFonts w:ascii="Symbol" w:hAnsi="Symbol"/>
    </w:rPr>
  </w:style>
  <w:style w:type="character" w:customStyle="1" w:styleId="MenuOptions">
    <w:name w:val="Menu Options"/>
    <w:basedOn w:val="DefaultParagraphFont"/>
    <w:rsid w:val="00D666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663F"/>
    <w:rPr>
      <w:b/>
    </w:rPr>
  </w:style>
  <w:style w:type="character" w:customStyle="1" w:styleId="Underlined">
    <w:name w:val="Underlined"/>
    <w:basedOn w:val="DefaultParagraphFont"/>
    <w:rsid w:val="00D6663F"/>
    <w:rPr>
      <w:u w:val="single"/>
    </w:rPr>
  </w:style>
  <w:style w:type="paragraph" w:customStyle="1" w:styleId="TableBodyTextRight">
    <w:name w:val="Table Body Text Right"/>
    <w:basedOn w:val="TableBodyText"/>
    <w:rsid w:val="00D666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663F"/>
    <w:rPr>
      <w:sz w:val="18"/>
    </w:rPr>
  </w:style>
  <w:style w:type="paragraph" w:customStyle="1" w:styleId="BodySmallRight">
    <w:name w:val="Body Small Right"/>
    <w:basedOn w:val="BodyTextRight"/>
    <w:rsid w:val="00D6663F"/>
    <w:rPr>
      <w:sz w:val="18"/>
      <w:szCs w:val="18"/>
    </w:rPr>
  </w:style>
  <w:style w:type="paragraph" w:customStyle="1" w:styleId="MarginEdition">
    <w:name w:val="Margin Edition"/>
    <w:basedOn w:val="MarginNote"/>
    <w:rsid w:val="00D666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663F"/>
    <w:rPr>
      <w:sz w:val="2"/>
      <w:szCs w:val="2"/>
    </w:rPr>
  </w:style>
  <w:style w:type="character" w:customStyle="1" w:styleId="Small">
    <w:name w:val="Small"/>
    <w:basedOn w:val="DefaultParagraphFont"/>
    <w:rsid w:val="00D6663F"/>
    <w:rPr>
      <w:sz w:val="16"/>
    </w:rPr>
  </w:style>
  <w:style w:type="paragraph" w:customStyle="1" w:styleId="WideTable">
    <w:name w:val="Wide Table"/>
    <w:basedOn w:val="Normal"/>
    <w:rsid w:val="00D666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663F"/>
  </w:style>
  <w:style w:type="paragraph" w:styleId="Quote">
    <w:name w:val="Quote"/>
    <w:basedOn w:val="Heading1"/>
    <w:link w:val="QuoteChar"/>
    <w:qFormat/>
    <w:rsid w:val="00D666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66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663F"/>
    <w:pPr>
      <w:pageBreakBefore/>
    </w:pPr>
  </w:style>
  <w:style w:type="paragraph" w:customStyle="1" w:styleId="Border">
    <w:name w:val="Border"/>
    <w:basedOn w:val="Normal"/>
    <w:qFormat/>
    <w:rsid w:val="00D666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66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66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66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66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66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66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66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66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663F"/>
    <w:rPr>
      <w:u w:val="single"/>
    </w:rPr>
  </w:style>
  <w:style w:type="character" w:customStyle="1" w:styleId="BoldandItalics">
    <w:name w:val="Bold and Italics"/>
    <w:qFormat/>
    <w:rsid w:val="00D6663F"/>
    <w:rPr>
      <w:b/>
      <w:i/>
      <w:u w:val="none"/>
    </w:rPr>
  </w:style>
  <w:style w:type="paragraph" w:styleId="BalloonText">
    <w:name w:val="Balloon Text"/>
    <w:basedOn w:val="Normal"/>
    <w:link w:val="BalloonTextChar"/>
    <w:rsid w:val="00D666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66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66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66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66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66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663F"/>
    <w:pPr>
      <w:spacing w:before="0" w:after="0"/>
    </w:pPr>
  </w:style>
  <w:style w:type="paragraph" w:customStyle="1" w:styleId="BodyTextBold">
    <w:name w:val="Body Text Bold"/>
    <w:basedOn w:val="BodyText"/>
    <w:qFormat/>
    <w:rsid w:val="00D6663F"/>
    <w:rPr>
      <w:b/>
    </w:rPr>
  </w:style>
  <w:style w:type="character" w:styleId="Hyperlink">
    <w:name w:val="Hyperlink"/>
    <w:basedOn w:val="DefaultParagraphFont"/>
    <w:uiPriority w:val="99"/>
    <w:unhideWhenUsed/>
    <w:rsid w:val="00E724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515</Words>
  <Characters>3114</Characters>
  <Application>Microsoft Office Word</Application>
  <DocSecurity>0</DocSecurity>
  <Lines>115</Lines>
  <Paragraphs>59</Paragraphs>
  <ScaleCrop>false</ScaleCrop>
  <Company>Author-it Software Corporation Ltd.</Company>
  <LinksUpToDate>false</LinksUpToDate>
  <CharactersWithSpaces>3570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CHCYTH014 Work effectively with young people in the youth work context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2023-07-02T02:24:00Z</dcterms:created>
  <dcterms:modified xsi:type="dcterms:W3CDTF">2023-07-02T02:24:00Z</dcterms:modified>
</cp:coreProperties>
</file>