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CHCSS00087 Risk Management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087"/>
      <w:r w:rsidRPr="00F31CE3">
        <w:t>CHCSS00087 Risk Management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 requirements for the identification and management of risks in organisations in the health or community sector.</w:t>
      </w:r>
    </w:p>
    <w:p w:rsidR="00D44002" w:rsidRPr="00F31CE3" w:rsidP="00F31CE3">
      <w:r w:rsidRPr="00F31CE3">
        <w:t>This skill set has been endorsed by industry as suitable for individuals who: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hold a qualification at Certificate III level or higher in related field, </w:t>
      </w:r>
      <w:r w:rsidRPr="00F31CE3">
        <w:br/>
      </w:r>
      <w:r w:rsidRPr="00F31CE3">
        <w:t>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have skills equivalent to the qualification requirement validated through a recognition of prior learning process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These units provide credit towards a range of qualifications in the CHC Community Services Training Package at Certificate IV level and above.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HLTWHS004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work health and safety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CHCLEG003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legal and ethical compliance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BSBOPS504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business risk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workers with existing experience or qualifications in community services or health sector roles seeking to broaden their skills.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CHC Community Services Training Package meet industry requirements for risk management work in various health or community services contexts.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CHCSS00087 Risk Management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CHCSS00087 Risk Management</dc:title>
  <dc:subject>Release: 2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2025-09-05T00:34:51Z</dcterms:created>
  <dcterms:modified xsi:type="dcterms:W3CDTF">2025-09-05T00:34:51Z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