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35E" w:rsidP="001F5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CHCSOH024 Support sustainable tenancies</w:t>
      </w:r>
      <w:r>
        <w:fldChar w:fldCharType="end"/>
      </w:r>
    </w:p>
    <w:p w:rsidR="001F535E" w:rsidP="001F535E">
      <w:pPr>
        <w:pStyle w:val="Version"/>
        <w:sectPr w:rsidSect="00661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C83" w:rsidP="00661C83">
      <w:pPr>
        <w:pStyle w:val="SuperHeading"/>
      </w:pPr>
      <w:r w:rsidRPr="00661C83">
        <w:t>CHCSOH024 Support sustainable tenancies</w:t>
      </w:r>
    </w:p>
    <w:p w:rsidR="00000000" w:rsidRPr="00661C83" w:rsidP="00661C83">
      <w:pPr>
        <w:pStyle w:val="Heading1"/>
      </w:pPr>
      <w:bookmarkStart w:id="1" w:name="O_1181375"/>
      <w:bookmarkEnd w:id="1"/>
      <w:r w:rsidRPr="00661C83">
        <w:t>Modification History</w:t>
      </w:r>
    </w:p>
    <w:p w:rsidR="00000000" w:rsidRPr="00661C83" w:rsidP="001F535E">
      <w:pPr>
        <w:pStyle w:val="BodyText"/>
      </w:pPr>
      <w:r w:rsidRPr="00661C83">
        <w:t>Release 1. CHCSOH024 Support sustainable tenancies. New unit. No equivalent unit.</w:t>
      </w:r>
    </w:p>
    <w:p w:rsidR="00000000" w:rsidRPr="00661C83" w:rsidP="00661C83">
      <w:pPr>
        <w:pStyle w:val="Heading1"/>
      </w:pPr>
      <w:bookmarkStart w:id="2" w:name="O_1181376"/>
      <w:bookmarkEnd w:id="2"/>
      <w:r w:rsidRPr="00661C83">
        <w:t>Application</w:t>
      </w:r>
    </w:p>
    <w:p w:rsidR="00000000" w:rsidRPr="00661C83" w:rsidP="001F535E">
      <w:pPr>
        <w:pStyle w:val="BodyText"/>
      </w:pPr>
      <w:r w:rsidRPr="00661C83">
        <w:t>This unit describes the performance outcomes, skills and knowledge required to assist tenants to maintain a sustainable te</w:t>
      </w:r>
      <w:r w:rsidRPr="00661C83">
        <w:t>nancy.</w:t>
      </w:r>
    </w:p>
    <w:p w:rsidR="00000000" w:rsidRPr="00661C83" w:rsidP="001F535E">
      <w:pPr>
        <w:pStyle w:val="BodyText"/>
      </w:pPr>
      <w:r w:rsidRPr="00661C83">
        <w:t>This unit applies to individuals who work in a social housing context. Workers exercise judgement and sensitivity when working with tenants within clearly defined processes and procedures.</w:t>
      </w:r>
    </w:p>
    <w:p w:rsidR="00000000" w:rsidRPr="00661C83" w:rsidP="001F535E">
      <w:pPr>
        <w:pStyle w:val="BodyText"/>
      </w:pPr>
      <w:r w:rsidRPr="00661C83">
        <w:t>The skills in this unit must be applied in accordance with C</w:t>
      </w:r>
      <w:r w:rsidRPr="00661C83">
        <w:t>ommonwealth and State\Territory legislation, Australian standards and industry codes of practice.</w:t>
      </w:r>
    </w:p>
    <w:p w:rsidR="00000000" w:rsidRPr="00661C83" w:rsidP="001F535E">
      <w:pPr>
        <w:pStyle w:val="BodyText"/>
      </w:pPr>
      <w:r w:rsidRPr="00661C83">
        <w:t>No occupational licensing, certification or specific legislative requirements apply to this unit at the time of publication.</w:t>
      </w:r>
    </w:p>
    <w:p w:rsidR="00000000" w:rsidRPr="00661C83" w:rsidP="00661C83">
      <w:pPr>
        <w:pStyle w:val="Heading1"/>
      </w:pPr>
      <w:bookmarkStart w:id="3" w:name="O_1181377"/>
      <w:bookmarkEnd w:id="3"/>
      <w:r w:rsidRPr="00661C83">
        <w:t xml:space="preserve">Pre-requisite </w:t>
      </w:r>
      <w:r w:rsidRPr="00661C83">
        <w:t>Unit</w:t>
      </w:r>
    </w:p>
    <w:p w:rsidR="00000000" w:rsidRPr="00661C83" w:rsidP="001F535E">
      <w:pPr>
        <w:pStyle w:val="BodyText"/>
      </w:pPr>
      <w:r w:rsidRPr="00661C83">
        <w:t xml:space="preserve">Nil </w:t>
      </w:r>
    </w:p>
    <w:p w:rsidR="00000000" w:rsidRPr="00661C83" w:rsidP="00661C83">
      <w:pPr>
        <w:pStyle w:val="Heading1"/>
      </w:pPr>
      <w:bookmarkStart w:id="4" w:name="O_1181378"/>
      <w:bookmarkEnd w:id="4"/>
      <w:r w:rsidRPr="00661C83">
        <w:t>Competency Field</w:t>
      </w:r>
    </w:p>
    <w:p w:rsidR="00000000" w:rsidRPr="00661C83" w:rsidP="001F535E">
      <w:pPr>
        <w:pStyle w:val="BodyText"/>
      </w:pPr>
      <w:r w:rsidRPr="00661C83">
        <w:t xml:space="preserve">Social Housing </w:t>
      </w:r>
    </w:p>
    <w:p w:rsidR="00000000" w:rsidRPr="00661C83" w:rsidP="00661C83">
      <w:pPr>
        <w:pStyle w:val="Heading1"/>
      </w:pPr>
      <w:bookmarkStart w:id="5" w:name="O_1181379"/>
      <w:bookmarkEnd w:id="5"/>
      <w:r w:rsidRPr="00661C83">
        <w:t>Unit Sector</w:t>
      </w:r>
    </w:p>
    <w:p w:rsidR="00000000" w:rsidRPr="00661C83" w:rsidP="001F535E">
      <w:pPr>
        <w:pStyle w:val="BodyText"/>
      </w:pPr>
      <w:r w:rsidRPr="00661C83">
        <w:t>Community Services</w:t>
      </w:r>
    </w:p>
    <w:p w:rsidR="00000000" w:rsidRPr="00661C83" w:rsidP="00661C83">
      <w:pPr>
        <w:pStyle w:val="Heading1"/>
      </w:pPr>
      <w:bookmarkStart w:id="6" w:name="O_1181380"/>
      <w:bookmarkEnd w:id="6"/>
      <w:r w:rsidRPr="00661C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BodyText"/>
            </w:pPr>
            <w:r w:rsidRPr="00661C8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BodyText"/>
              <w:rPr>
                <w:lang w:val="en-NZ"/>
              </w:rPr>
            </w:pPr>
            <w:r w:rsidRPr="00661C83">
              <w:rPr>
                <w:rStyle w:val="SpecialBold"/>
              </w:rPr>
              <w:t>PERFORMANCE</w:t>
            </w:r>
            <w:r w:rsidRPr="00661C83">
              <w:t xml:space="preserve"> </w:t>
            </w:r>
            <w:r w:rsidRPr="00661C83">
              <w:rPr>
                <w:rStyle w:val="SpecialBold"/>
              </w:rPr>
              <w:t>CRITERIA</w:t>
            </w:r>
          </w:p>
        </w:tc>
      </w:tr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BodyText"/>
            </w:pPr>
            <w:r w:rsidRPr="00661C8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BodyText"/>
              <w:rPr>
                <w:lang w:val="en-NZ"/>
              </w:rPr>
            </w:pPr>
            <w:r w:rsidRPr="00661C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List"/>
              <w:rPr>
                <w:lang w:val="en-NZ"/>
              </w:rPr>
            </w:pPr>
            <w:r w:rsidRPr="00661C83">
              <w:t>1.  Determine client needs and prepare for tenancy.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List"/>
            </w:pPr>
            <w:r w:rsidRPr="00661C83">
              <w:t>1.1. Identify complex needs that may impact on the client’s ability to sustain the tenancy.</w:t>
            </w:r>
          </w:p>
          <w:p w:rsidR="00000000" w:rsidRPr="00661C83" w:rsidP="00661C83">
            <w:pPr>
              <w:pStyle w:val="List"/>
            </w:pPr>
            <w:r w:rsidRPr="00661C83">
              <w:t>1.2. Identify c</w:t>
            </w:r>
            <w:r w:rsidRPr="00661C83">
              <w:t>ommunity and health service provider arrangements in place.</w:t>
            </w:r>
          </w:p>
          <w:p w:rsidR="00000000" w:rsidRPr="00661C83" w:rsidP="00661C83">
            <w:pPr>
              <w:pStyle w:val="List"/>
            </w:pPr>
            <w:r w:rsidRPr="00661C83">
              <w:t>1.3. Develop tenancy sustainment plan in consultation with client.</w:t>
            </w:r>
          </w:p>
          <w:p w:rsidR="00000000" w:rsidP="00661C83">
            <w:pPr>
              <w:pStyle w:val="List"/>
              <w:rPr>
                <w:lang w:val="en-NZ"/>
              </w:rPr>
            </w:pPr>
            <w:r w:rsidRPr="00661C83">
              <w:t>1.4. Use tenant induction process to prepare client for tenancy.</w:t>
            </w:r>
          </w:p>
        </w:tc>
      </w:tr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List"/>
              <w:rPr>
                <w:lang w:val="en-NZ"/>
              </w:rPr>
            </w:pPr>
            <w:r w:rsidRPr="00661C83">
              <w:t>2.  Establish and mitigate risks regarding tenant’s tenancy.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List"/>
            </w:pPr>
            <w:r w:rsidRPr="00661C83">
              <w:t>2.1. Identify and assess pre-tenancy risks.</w:t>
            </w:r>
          </w:p>
          <w:p w:rsidR="00000000" w:rsidRPr="00661C83" w:rsidP="00661C83">
            <w:pPr>
              <w:pStyle w:val="List"/>
            </w:pPr>
            <w:r w:rsidRPr="00661C83">
              <w:t>2.2. Identify and assess risks during tenancy.</w:t>
            </w:r>
          </w:p>
          <w:p w:rsidR="00000000" w:rsidRPr="00661C83" w:rsidP="00661C83">
            <w:pPr>
              <w:pStyle w:val="List"/>
            </w:pPr>
            <w:r w:rsidRPr="00661C83">
              <w:t>2.3. Ensure identified risks are mitigated for each stage of the tenant journey.</w:t>
            </w:r>
          </w:p>
          <w:p w:rsidR="00000000" w:rsidRPr="00661C83" w:rsidP="00661C83">
            <w:pPr>
              <w:pStyle w:val="List"/>
            </w:pPr>
            <w:r w:rsidRPr="00661C83">
              <w:t>2.4. Identify policy and legal implications for the tenant’s housing.</w:t>
            </w:r>
          </w:p>
          <w:p w:rsidR="00000000" w:rsidP="00661C83">
            <w:pPr>
              <w:pStyle w:val="List"/>
              <w:rPr>
                <w:lang w:val="en-NZ"/>
              </w:rPr>
            </w:pPr>
            <w:r w:rsidRPr="00661C83">
              <w:t xml:space="preserve">2.5. Document </w:t>
            </w:r>
            <w:r w:rsidRPr="00661C83">
              <w:t>risk assessment and mitigation according to organisational policies and procedures.</w:t>
            </w:r>
          </w:p>
        </w:tc>
      </w:tr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List"/>
              <w:rPr>
                <w:lang w:val="en-NZ"/>
              </w:rPr>
            </w:pPr>
            <w:r w:rsidRPr="00661C83">
              <w:t>3.  Work with community and health service providers to identify and assist tenants at risk of tenancy breakdown.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List"/>
            </w:pPr>
            <w:r w:rsidRPr="00661C83">
              <w:t xml:space="preserve">3.1. Check progress against the tenancy sustainment plan </w:t>
            </w:r>
            <w:r w:rsidRPr="00661C83">
              <w:t>at required regular intervals.</w:t>
            </w:r>
          </w:p>
          <w:p w:rsidR="00000000" w:rsidRPr="00661C83" w:rsidP="00661C83">
            <w:pPr>
              <w:pStyle w:val="List"/>
            </w:pPr>
            <w:r w:rsidRPr="00661C83">
              <w:t>3.2. Recognise issues that may contribute to tenancy breakdown.</w:t>
            </w:r>
          </w:p>
          <w:p w:rsidR="00000000" w:rsidRPr="00661C83" w:rsidP="00661C83">
            <w:pPr>
              <w:pStyle w:val="List"/>
            </w:pPr>
            <w:r w:rsidRPr="00661C83">
              <w:t>3.3. Identify tenants at risk of tenancy breakdown.</w:t>
            </w:r>
          </w:p>
          <w:p w:rsidR="00000000" w:rsidRPr="00661C83" w:rsidP="00661C83">
            <w:pPr>
              <w:pStyle w:val="List"/>
            </w:pPr>
            <w:r w:rsidRPr="00661C83">
              <w:t>3.4. Work with agencies to secure community and health service providers.</w:t>
            </w:r>
          </w:p>
          <w:p w:rsidR="00000000" w:rsidRPr="00661C83" w:rsidP="00661C83">
            <w:pPr>
              <w:pStyle w:val="List"/>
            </w:pPr>
            <w:r w:rsidRPr="00661C83">
              <w:t>3.5. Maintain partnerships with com</w:t>
            </w:r>
            <w:r w:rsidRPr="00661C83">
              <w:t>munity and health service providers.</w:t>
            </w:r>
          </w:p>
          <w:p w:rsidR="00000000" w:rsidP="00661C83">
            <w:pPr>
              <w:pStyle w:val="List"/>
              <w:rPr>
                <w:lang w:val="en-NZ"/>
              </w:rPr>
            </w:pPr>
            <w:r w:rsidRPr="00661C83">
              <w:t>3.6. Maintain currency of community and health service provider contact details.</w:t>
            </w:r>
          </w:p>
        </w:tc>
      </w:tr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List"/>
              <w:rPr>
                <w:lang w:val="en-NZ"/>
              </w:rPr>
            </w:pPr>
            <w:r w:rsidRPr="00661C83">
              <w:t>4.  Promote tenant rights and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List"/>
            </w:pPr>
            <w:r w:rsidRPr="00661C83">
              <w:t>4.1. Develop own knowledge of State or Territory-based housing legislation and tenancy ri</w:t>
            </w:r>
            <w:r w:rsidRPr="00661C83">
              <w:t>ghts.</w:t>
            </w:r>
          </w:p>
          <w:p w:rsidR="00000000" w:rsidRPr="00661C83" w:rsidP="00661C83">
            <w:pPr>
              <w:pStyle w:val="List"/>
            </w:pPr>
            <w:r w:rsidRPr="00661C83">
              <w:t>4.2. Refer to tenancy advice to inform tenants of their rights and responsibilities.</w:t>
            </w:r>
          </w:p>
          <w:p w:rsidR="00000000" w:rsidRPr="00661C83" w:rsidP="00661C83">
            <w:pPr>
              <w:pStyle w:val="List"/>
            </w:pPr>
            <w:r w:rsidRPr="00661C83">
              <w:t>4.3. Ensure housing providers uphold tenants’ rights and responsibilities.</w:t>
            </w:r>
          </w:p>
          <w:p w:rsidR="00000000" w:rsidRPr="00661C83" w:rsidP="00661C83">
            <w:pPr>
              <w:pStyle w:val="List"/>
            </w:pPr>
            <w:r w:rsidRPr="00661C83">
              <w:t>4.4. Confirm tenants receive a copy of their lease agreement.</w:t>
            </w:r>
          </w:p>
          <w:p w:rsidR="00000000" w:rsidRPr="00661C83" w:rsidP="00661C83">
            <w:pPr>
              <w:pStyle w:val="List"/>
            </w:pPr>
            <w:r w:rsidRPr="00661C83">
              <w:t>4.5. Assist tenants to understand responsibilities of the social housing worker and workers in other agencies.</w:t>
            </w:r>
          </w:p>
          <w:p w:rsidR="00000000" w:rsidP="00661C83">
            <w:pPr>
              <w:pStyle w:val="List"/>
              <w:rPr>
                <w:lang w:val="en-NZ"/>
              </w:rPr>
            </w:pPr>
            <w:r w:rsidRPr="00661C83">
              <w:t>4.6. Assist tenants to understand processes for repairs and provide phone numbers to contact the relevant housing authority and anticipated respo</w:t>
            </w:r>
            <w:r w:rsidRPr="00661C83">
              <w:t>nse times.</w:t>
            </w:r>
          </w:p>
        </w:tc>
      </w:tr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List"/>
              <w:rPr>
                <w:lang w:val="en-NZ"/>
              </w:rPr>
            </w:pPr>
            <w:r w:rsidRPr="00661C83">
              <w:t>5.  Assist tenants to avoid rent arrears and recover if they fall into rent arrears.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List"/>
            </w:pPr>
            <w:r w:rsidRPr="00661C83">
              <w:t>5.1. Develop tenant financial literacy and management skills through direct support or referral.</w:t>
            </w:r>
          </w:p>
          <w:p w:rsidR="00000000" w:rsidRPr="00661C83" w:rsidP="00661C83">
            <w:pPr>
              <w:pStyle w:val="List"/>
            </w:pPr>
            <w:r w:rsidRPr="00661C83">
              <w:t>5.2. Identify rent arrears within required time period.</w:t>
            </w:r>
          </w:p>
          <w:p w:rsidR="00000000" w:rsidRPr="00661C83" w:rsidP="00661C83">
            <w:pPr>
              <w:pStyle w:val="List"/>
            </w:pPr>
            <w:r w:rsidRPr="00661C83">
              <w:t>5.3. A</w:t>
            </w:r>
            <w:r w:rsidRPr="00661C83">
              <w:t>ssist tenant with early intervention and referrals to prevent escalating arrears.</w:t>
            </w:r>
          </w:p>
          <w:p w:rsidR="00000000" w:rsidRPr="00661C83" w:rsidP="00661C83">
            <w:pPr>
              <w:pStyle w:val="List"/>
            </w:pPr>
            <w:r w:rsidRPr="00661C83">
              <w:t>5.4. Use proactive methods to establish a repayment plan.</w:t>
            </w:r>
          </w:p>
          <w:p w:rsidR="00000000" w:rsidP="00661C83">
            <w:pPr>
              <w:pStyle w:val="List"/>
              <w:rPr>
                <w:lang w:val="en-NZ"/>
              </w:rPr>
            </w:pPr>
            <w:r w:rsidRPr="00661C83">
              <w:t>5.5. Identify potential exit to homelessness and locate alternative housing options.</w:t>
            </w:r>
          </w:p>
        </w:tc>
      </w:tr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List"/>
              <w:rPr>
                <w:lang w:val="en-NZ"/>
              </w:rPr>
            </w:pPr>
            <w:r w:rsidRPr="00661C83">
              <w:t>6.  Build tenant skills.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List"/>
            </w:pPr>
            <w:r w:rsidRPr="00661C83">
              <w:t xml:space="preserve">6.1. </w:t>
            </w:r>
            <w:r w:rsidRPr="00661C83">
              <w:t>Identify gaps in tenant’s skills for daily living.</w:t>
            </w:r>
          </w:p>
          <w:p w:rsidR="00000000" w:rsidP="00661C83">
            <w:pPr>
              <w:pStyle w:val="List"/>
              <w:rPr>
                <w:lang w:val="en-NZ"/>
              </w:rPr>
            </w:pPr>
            <w:r w:rsidRPr="00661C83">
              <w:t xml:space="preserve">6.2. Provide ongoing support to develop daily living skills through direct support and referral. </w:t>
            </w:r>
          </w:p>
        </w:tc>
      </w:tr>
      <w:tr w:rsidTr="00661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83">
            <w:pPr>
              <w:pStyle w:val="List"/>
              <w:rPr>
                <w:lang w:val="en-NZ"/>
              </w:rPr>
            </w:pPr>
            <w:r w:rsidRPr="00661C83">
              <w:t>7.  Provide tenants with referrals to community and health service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83" w:rsidP="00661C83">
            <w:pPr>
              <w:pStyle w:val="List"/>
            </w:pPr>
            <w:r w:rsidRPr="00661C83">
              <w:t xml:space="preserve">7.1. Apply a person-centred </w:t>
            </w:r>
            <w:r w:rsidRPr="00661C83">
              <w:t>approach to making referrals.</w:t>
            </w:r>
          </w:p>
          <w:p w:rsidR="00000000" w:rsidRPr="00661C83" w:rsidP="00661C83">
            <w:pPr>
              <w:pStyle w:val="List"/>
            </w:pPr>
            <w:r w:rsidRPr="00661C83">
              <w:t>7.2. Attain consent from tenant to provide referral to community and health service provider.</w:t>
            </w:r>
          </w:p>
          <w:p w:rsidR="00000000" w:rsidRPr="00661C83" w:rsidP="00661C83">
            <w:pPr>
              <w:pStyle w:val="List"/>
            </w:pPr>
            <w:r w:rsidRPr="00661C83">
              <w:t>7.3. Review engagement and gaps with community and health service providers at required intervals.</w:t>
            </w:r>
          </w:p>
          <w:p w:rsidR="00000000" w:rsidRPr="00661C83" w:rsidP="00661C83">
            <w:pPr>
              <w:pStyle w:val="List"/>
            </w:pPr>
            <w:r w:rsidRPr="00661C83">
              <w:t>7.4. Obtain tenant feedback to en</w:t>
            </w:r>
            <w:r w:rsidRPr="00661C83">
              <w:t>sure community and health service providers are appropriate for the needs of the tenant.</w:t>
            </w:r>
          </w:p>
        </w:tc>
      </w:tr>
    </w:tbl>
    <w:p w:rsidR="00000000" w:rsidRPr="00661C83" w:rsidP="00661C83">
      <w:pPr>
        <w:pStyle w:val="BodyText"/>
      </w:pPr>
    </w:p>
    <w:p w:rsidR="00000000" w:rsidRPr="00661C83" w:rsidP="00661C83">
      <w:pPr>
        <w:pStyle w:val="AllowPageBreak"/>
      </w:pPr>
    </w:p>
    <w:p w:rsidR="00000000" w:rsidRPr="00661C83" w:rsidP="00661C83">
      <w:pPr>
        <w:pStyle w:val="Heading1"/>
      </w:pPr>
      <w:bookmarkStart w:id="7" w:name="O_1181381"/>
      <w:bookmarkEnd w:id="7"/>
      <w:r w:rsidRPr="00661C83">
        <w:t>Foundation Skills</w:t>
      </w:r>
    </w:p>
    <w:p w:rsidR="00000000" w:rsidRPr="00661C83" w:rsidP="001F535E">
      <w:pPr>
        <w:pStyle w:val="BodyText"/>
      </w:pPr>
      <w:r w:rsidRPr="00661C83">
        <w:t>Foundation skills essential to performance are explicit in the performance criteria of this unit of competency.</w:t>
      </w:r>
    </w:p>
    <w:p w:rsidR="00000000" w:rsidRPr="00661C83" w:rsidP="00661C83">
      <w:pPr>
        <w:pStyle w:val="Heading1"/>
      </w:pPr>
      <w:bookmarkStart w:id="8" w:name="O_1181383"/>
      <w:bookmarkEnd w:id="8"/>
      <w:r w:rsidRPr="00661C83">
        <w:t>Unit Mapping Information</w:t>
      </w:r>
    </w:p>
    <w:p w:rsidR="00000000" w:rsidRPr="00661C83" w:rsidP="001F535E">
      <w:pPr>
        <w:pStyle w:val="BodyText"/>
      </w:pPr>
      <w:r w:rsidRPr="00661C83">
        <w:t>No equivalent unit.</w:t>
      </w:r>
    </w:p>
    <w:p w:rsidR="00000000" w:rsidRPr="00661C83" w:rsidP="00661C83">
      <w:pPr>
        <w:pStyle w:val="Heading1"/>
      </w:pPr>
      <w:bookmarkStart w:id="9" w:name="O_1181390"/>
      <w:bookmarkEnd w:id="9"/>
      <w:r w:rsidRPr="00661C83">
        <w:t>Links</w:t>
      </w:r>
    </w:p>
    <w:p w:rsidR="00000000" w:rsidRPr="00661C83" w:rsidP="001F535E">
      <w:pPr>
        <w:pStyle w:val="BodyText"/>
      </w:pPr>
      <w:r w:rsidRPr="00661C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845D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61C83" w:rsidP="00661C83"/>
    <w:sectPr w:rsidSect="00661C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83" w:rsidRPr="001F535E" w:rsidP="001F5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5E" w:rsidP="00661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35E" w:rsidP="00661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535E" w:rsidP="00661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C83" w:rsidRPr="001F535E" w:rsidP="001F5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35E" w:rsidRPr="002D2AF8" w:rsidP="00661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CHCSOH024 Support sustainable tenancies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F535E" w:rsidP="00661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C83"/>
  </w:style>
  <w:style w:type="character" w:customStyle="1" w:styleId="Heading1Char">
    <w:name w:val="Heading 1 Char"/>
    <w:basedOn w:val="DefaultParagraphFont"/>
    <w:link w:val="Heading1"/>
    <w:rsid w:val="00661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C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1C8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61C83"/>
    <w:rPr>
      <w:b/>
      <w:spacing w:val="0"/>
    </w:rPr>
  </w:style>
  <w:style w:type="character" w:styleId="Emphasis">
    <w:name w:val="Emphasis"/>
    <w:basedOn w:val="DefaultParagraphFont"/>
    <w:qFormat/>
    <w:rsid w:val="00661C83"/>
    <w:rPr>
      <w:i/>
    </w:rPr>
  </w:style>
  <w:style w:type="paragraph" w:customStyle="1" w:styleId="SuperHeading">
    <w:name w:val="SuperHeading"/>
    <w:basedOn w:val="Normal"/>
    <w:rsid w:val="00661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1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C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61C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1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C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C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C83"/>
  </w:style>
  <w:style w:type="paragraph" w:styleId="TableofFigures">
    <w:name w:val="table of figures"/>
    <w:basedOn w:val="Normal"/>
    <w:next w:val="Normal"/>
    <w:semiHidden/>
    <w:rsid w:val="00661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C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1C83"/>
    <w:rPr>
      <w:rFonts w:ascii="Wingdings" w:hAnsi="Wingdings"/>
    </w:rPr>
  </w:style>
  <w:style w:type="paragraph" w:customStyle="1" w:styleId="TableHeading">
    <w:name w:val="Table Heading"/>
    <w:basedOn w:val="HeadingBase"/>
    <w:rsid w:val="00661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C83"/>
    <w:rPr>
      <w:color w:val="0033CC"/>
      <w:u w:val="none"/>
    </w:rPr>
  </w:style>
  <w:style w:type="paragraph" w:customStyle="1" w:styleId="BodyTextRight">
    <w:name w:val="Body Text Right"/>
    <w:basedOn w:val="BodyText"/>
    <w:rsid w:val="00661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C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C83"/>
    <w:rPr>
      <w:sz w:val="32"/>
    </w:rPr>
  </w:style>
  <w:style w:type="paragraph" w:customStyle="1" w:styleId="HeadingProcedure">
    <w:name w:val="Heading Procedure"/>
    <w:basedOn w:val="HeadingBase"/>
    <w:next w:val="Normal"/>
    <w:rsid w:val="00661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C83"/>
    <w:pPr>
      <w:spacing w:before="60" w:after="60"/>
    </w:pPr>
  </w:style>
  <w:style w:type="paragraph" w:styleId="ListContinue">
    <w:name w:val="List Continue"/>
    <w:basedOn w:val="List"/>
    <w:rsid w:val="00661C83"/>
    <w:pPr>
      <w:ind w:firstLine="0"/>
    </w:pPr>
  </w:style>
  <w:style w:type="paragraph" w:customStyle="1" w:styleId="ListNote">
    <w:name w:val="List Note"/>
    <w:basedOn w:val="List"/>
    <w:rsid w:val="00661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C83"/>
    <w:rPr>
      <w:rFonts w:ascii="Courier New" w:hAnsi="Courier New"/>
    </w:rPr>
  </w:style>
  <w:style w:type="paragraph" w:customStyle="1" w:styleId="NoteBullet">
    <w:name w:val="Note Bullet"/>
    <w:basedOn w:val="Note"/>
    <w:rsid w:val="00661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C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1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C83"/>
    <w:rPr>
      <w:b/>
      <w:smallCaps/>
    </w:rPr>
  </w:style>
  <w:style w:type="paragraph" w:customStyle="1" w:styleId="TableListNumber">
    <w:name w:val="Table List Number"/>
    <w:basedOn w:val="ListNumber"/>
    <w:rsid w:val="00661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C83"/>
    <w:pPr>
      <w:numPr>
        <w:numId w:val="7"/>
      </w:numPr>
    </w:pPr>
  </w:style>
  <w:style w:type="paragraph" w:customStyle="1" w:styleId="ListAlpha2">
    <w:name w:val="List Alpha 2"/>
    <w:basedOn w:val="List2"/>
    <w:rsid w:val="00661C83"/>
    <w:pPr>
      <w:numPr>
        <w:numId w:val="6"/>
      </w:numPr>
    </w:pPr>
  </w:style>
  <w:style w:type="paragraph" w:styleId="List2">
    <w:name w:val="List 2"/>
    <w:basedOn w:val="BodyText"/>
    <w:rsid w:val="00661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C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C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1C83"/>
    <w:pPr>
      <w:numPr>
        <w:numId w:val="2"/>
      </w:numPr>
    </w:pPr>
  </w:style>
  <w:style w:type="paragraph" w:styleId="ListContinue2">
    <w:name w:val="List Continue 2"/>
    <w:basedOn w:val="List2"/>
    <w:rsid w:val="00661C83"/>
    <w:pPr>
      <w:ind w:firstLine="0"/>
    </w:pPr>
  </w:style>
  <w:style w:type="paragraph" w:styleId="ListContinue3">
    <w:name w:val="List Continue 3"/>
    <w:basedOn w:val="List3"/>
    <w:rsid w:val="00661C83"/>
    <w:pPr>
      <w:ind w:left="1021" w:firstLine="0"/>
    </w:pPr>
  </w:style>
  <w:style w:type="paragraph" w:styleId="ListContinue4">
    <w:name w:val="List Continue 4"/>
    <w:basedOn w:val="List4"/>
    <w:rsid w:val="00661C83"/>
    <w:pPr>
      <w:ind w:firstLine="0"/>
    </w:pPr>
  </w:style>
  <w:style w:type="paragraph" w:styleId="ListContinue5">
    <w:name w:val="List Continue 5"/>
    <w:basedOn w:val="List5"/>
    <w:rsid w:val="00661C83"/>
    <w:pPr>
      <w:ind w:firstLine="0"/>
    </w:pPr>
  </w:style>
  <w:style w:type="paragraph" w:styleId="ListNumber3">
    <w:name w:val="List Number 3"/>
    <w:basedOn w:val="List3"/>
    <w:rsid w:val="00661C83"/>
    <w:pPr>
      <w:numPr>
        <w:numId w:val="3"/>
      </w:numPr>
    </w:pPr>
  </w:style>
  <w:style w:type="paragraph" w:styleId="ListNumber4">
    <w:name w:val="List Number 4"/>
    <w:basedOn w:val="List4"/>
    <w:rsid w:val="00661C83"/>
    <w:pPr>
      <w:numPr>
        <w:numId w:val="4"/>
      </w:numPr>
    </w:pPr>
  </w:style>
  <w:style w:type="paragraph" w:styleId="ListNumber5">
    <w:name w:val="List Number 5"/>
    <w:basedOn w:val="List5"/>
    <w:rsid w:val="00661C83"/>
    <w:pPr>
      <w:numPr>
        <w:numId w:val="5"/>
      </w:numPr>
    </w:pPr>
  </w:style>
  <w:style w:type="paragraph" w:styleId="BlockText">
    <w:name w:val="Block Text"/>
    <w:basedOn w:val="Normal"/>
    <w:rsid w:val="00661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C83"/>
    <w:rPr>
      <w:sz w:val="16"/>
      <w:vertAlign w:val="superscript"/>
    </w:rPr>
  </w:style>
  <w:style w:type="character" w:customStyle="1" w:styleId="Symbols">
    <w:name w:val="Symbols"/>
    <w:basedOn w:val="DefaultParagraphFont"/>
    <w:rsid w:val="00661C83"/>
    <w:rPr>
      <w:rFonts w:ascii="Symbol" w:hAnsi="Symbol"/>
    </w:rPr>
  </w:style>
  <w:style w:type="character" w:customStyle="1" w:styleId="MenuOptions">
    <w:name w:val="Menu Options"/>
    <w:basedOn w:val="DefaultParagraphFont"/>
    <w:rsid w:val="00661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C83"/>
    <w:rPr>
      <w:b/>
    </w:rPr>
  </w:style>
  <w:style w:type="character" w:customStyle="1" w:styleId="Underlined">
    <w:name w:val="Underlined"/>
    <w:basedOn w:val="DefaultParagraphFont"/>
    <w:rsid w:val="00661C83"/>
    <w:rPr>
      <w:u w:val="single"/>
    </w:rPr>
  </w:style>
  <w:style w:type="paragraph" w:customStyle="1" w:styleId="TableBodyTextRight">
    <w:name w:val="Table Body Text Right"/>
    <w:basedOn w:val="TableBodyText"/>
    <w:rsid w:val="00661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C83"/>
    <w:rPr>
      <w:sz w:val="18"/>
    </w:rPr>
  </w:style>
  <w:style w:type="paragraph" w:customStyle="1" w:styleId="BodySmallRight">
    <w:name w:val="Body Small Right"/>
    <w:basedOn w:val="BodyTextRight"/>
    <w:rsid w:val="00661C83"/>
    <w:rPr>
      <w:sz w:val="18"/>
      <w:szCs w:val="18"/>
    </w:rPr>
  </w:style>
  <w:style w:type="paragraph" w:customStyle="1" w:styleId="MarginEdition">
    <w:name w:val="Margin Edition"/>
    <w:basedOn w:val="MarginNote"/>
    <w:rsid w:val="00661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C83"/>
    <w:rPr>
      <w:sz w:val="2"/>
      <w:szCs w:val="2"/>
    </w:rPr>
  </w:style>
  <w:style w:type="character" w:customStyle="1" w:styleId="Small">
    <w:name w:val="Small"/>
    <w:basedOn w:val="DefaultParagraphFont"/>
    <w:rsid w:val="00661C83"/>
    <w:rPr>
      <w:sz w:val="16"/>
    </w:rPr>
  </w:style>
  <w:style w:type="paragraph" w:customStyle="1" w:styleId="WideTable">
    <w:name w:val="Wide Table"/>
    <w:basedOn w:val="Normal"/>
    <w:rsid w:val="00661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C83"/>
  </w:style>
  <w:style w:type="paragraph" w:styleId="Quote">
    <w:name w:val="Quote"/>
    <w:basedOn w:val="Heading1"/>
    <w:link w:val="QuoteChar"/>
    <w:qFormat/>
    <w:rsid w:val="00661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C83"/>
    <w:pPr>
      <w:pageBreakBefore/>
    </w:pPr>
  </w:style>
  <w:style w:type="paragraph" w:customStyle="1" w:styleId="Border">
    <w:name w:val="Border"/>
    <w:basedOn w:val="Normal"/>
    <w:qFormat/>
    <w:rsid w:val="00661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C83"/>
    <w:rPr>
      <w:u w:val="single"/>
    </w:rPr>
  </w:style>
  <w:style w:type="character" w:customStyle="1" w:styleId="BoldandItalics">
    <w:name w:val="Bold and Italics"/>
    <w:qFormat/>
    <w:rsid w:val="00661C83"/>
    <w:rPr>
      <w:b/>
      <w:i/>
      <w:u w:val="none"/>
    </w:rPr>
  </w:style>
  <w:style w:type="paragraph" w:styleId="BalloonText">
    <w:name w:val="Balloon Text"/>
    <w:basedOn w:val="Normal"/>
    <w:link w:val="BalloonTextChar"/>
    <w:rsid w:val="00661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C83"/>
    <w:pPr>
      <w:spacing w:before="0" w:after="0"/>
    </w:pPr>
  </w:style>
  <w:style w:type="paragraph" w:customStyle="1" w:styleId="BodyTextBold">
    <w:name w:val="Body Text Bold"/>
    <w:basedOn w:val="BodyText"/>
    <w:qFormat/>
    <w:rsid w:val="00661C83"/>
    <w:rPr>
      <w:b/>
    </w:rPr>
  </w:style>
  <w:style w:type="character" w:styleId="Hyperlink">
    <w:name w:val="Hyperlink"/>
    <w:basedOn w:val="DefaultParagraphFont"/>
    <w:uiPriority w:val="99"/>
    <w:unhideWhenUsed/>
    <w:rsid w:val="001F5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3993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CHCSOH024 Support sustainable tenancies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2023-07-01T02:56:00Z</dcterms:created>
  <dcterms:modified xsi:type="dcterms:W3CDTF">2023-07-01T02:56:00Z</dcterms:modified>
</cp:coreProperties>
</file>