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6690" w:rsidP="00DF66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CHCSOH024 Support sustainable tenancies</w:t>
      </w:r>
      <w:r>
        <w:fldChar w:fldCharType="end"/>
      </w:r>
    </w:p>
    <w:p w:rsidR="00DF6690" w:rsidP="00DF6690">
      <w:pPr>
        <w:pStyle w:val="Version"/>
        <w:sectPr w:rsidSect="003F51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5132" w:rsidP="003F5132">
      <w:pPr>
        <w:pStyle w:val="SuperHeading"/>
      </w:pPr>
      <w:r w:rsidRPr="003F5132">
        <w:t>CHCSOH024 Support sustainable tenancies</w:t>
      </w:r>
    </w:p>
    <w:p w:rsidR="00000000" w:rsidRPr="003F5132" w:rsidP="003F5132">
      <w:pPr>
        <w:pStyle w:val="Heading1"/>
      </w:pPr>
      <w:bookmarkStart w:id="1" w:name="O_1181375"/>
      <w:bookmarkEnd w:id="1"/>
      <w:r w:rsidRPr="003F5132">
        <w:t>Modification History</w:t>
      </w:r>
    </w:p>
    <w:p w:rsidR="00000000" w:rsidRPr="003F5132" w:rsidP="00DF6690">
      <w:pPr>
        <w:pStyle w:val="BodyText"/>
      </w:pPr>
      <w:r w:rsidRPr="003F5132">
        <w:t>Release 1. CHCSOH024 Support sustainable tenancies. New unit. No equivalent unit.</w:t>
      </w:r>
    </w:p>
    <w:p w:rsidR="00000000" w:rsidRPr="003F5132" w:rsidP="003F5132">
      <w:pPr>
        <w:pStyle w:val="Heading1"/>
      </w:pPr>
      <w:bookmarkStart w:id="2" w:name="O_1181376"/>
      <w:bookmarkEnd w:id="2"/>
      <w:r w:rsidRPr="003F5132">
        <w:t>Application</w:t>
      </w:r>
    </w:p>
    <w:p w:rsidR="00000000" w:rsidRPr="003F5132" w:rsidP="00DF6690">
      <w:pPr>
        <w:pStyle w:val="BodyText"/>
      </w:pPr>
      <w:r w:rsidRPr="003F5132">
        <w:t>This unit describes the performance outcomes, skills and knowledge required to assist tenants to maintain a sustainable te</w:t>
      </w:r>
      <w:r w:rsidRPr="003F5132">
        <w:t>nancy.</w:t>
      </w:r>
    </w:p>
    <w:p w:rsidR="00000000" w:rsidRPr="003F5132" w:rsidP="00DF6690">
      <w:pPr>
        <w:pStyle w:val="BodyText"/>
      </w:pPr>
      <w:r w:rsidRPr="003F5132">
        <w:t>This unit applies to individuals who work in a social housing context. Workers exercise judgement and sensitivity when working with tenants within clearly defined processes and procedures.</w:t>
      </w:r>
    </w:p>
    <w:p w:rsidR="00000000" w:rsidRPr="003F5132" w:rsidP="00DF6690">
      <w:pPr>
        <w:pStyle w:val="BodyText"/>
      </w:pPr>
      <w:r w:rsidRPr="003F5132">
        <w:t>The skills in this unit must be applied in accordance with C</w:t>
      </w:r>
      <w:r w:rsidRPr="003F5132">
        <w:t>ommonwealth and State\Territory legislation, Australian standards and industry codes of practice.</w:t>
      </w:r>
    </w:p>
    <w:p w:rsidR="00000000" w:rsidRPr="003F5132" w:rsidP="00DF6690">
      <w:pPr>
        <w:pStyle w:val="BodyText"/>
      </w:pPr>
      <w:r w:rsidRPr="003F5132">
        <w:t>No occupational licensing, certification or specific legislative requirements apply to this unit at the time of publication.</w:t>
      </w:r>
    </w:p>
    <w:p w:rsidR="00000000" w:rsidRPr="003F5132" w:rsidP="003F5132">
      <w:pPr>
        <w:pStyle w:val="Heading1"/>
      </w:pPr>
      <w:bookmarkStart w:id="3" w:name="O_1181377"/>
      <w:bookmarkEnd w:id="3"/>
      <w:r w:rsidRPr="003F5132">
        <w:t xml:space="preserve">Pre-requisite </w:t>
      </w:r>
      <w:r w:rsidRPr="003F5132">
        <w:t>Unit</w:t>
      </w:r>
    </w:p>
    <w:p w:rsidR="00000000" w:rsidRPr="003F5132" w:rsidP="00DF6690">
      <w:pPr>
        <w:pStyle w:val="BodyText"/>
      </w:pPr>
      <w:r w:rsidRPr="003F5132">
        <w:t xml:space="preserve">Nil </w:t>
      </w:r>
    </w:p>
    <w:p w:rsidR="00000000" w:rsidRPr="003F5132" w:rsidP="003F5132">
      <w:pPr>
        <w:pStyle w:val="Heading1"/>
      </w:pPr>
      <w:bookmarkStart w:id="4" w:name="O_1181378"/>
      <w:bookmarkEnd w:id="4"/>
      <w:r w:rsidRPr="003F5132">
        <w:t>Competency Field</w:t>
      </w:r>
    </w:p>
    <w:p w:rsidR="00000000" w:rsidRPr="003F5132" w:rsidP="00DF6690">
      <w:pPr>
        <w:pStyle w:val="BodyText"/>
      </w:pPr>
      <w:r w:rsidRPr="003F5132">
        <w:t xml:space="preserve">Social Housing </w:t>
      </w:r>
    </w:p>
    <w:p w:rsidR="00000000" w:rsidRPr="003F5132" w:rsidP="003F5132">
      <w:pPr>
        <w:pStyle w:val="Heading1"/>
      </w:pPr>
      <w:bookmarkStart w:id="5" w:name="O_1181379"/>
      <w:bookmarkEnd w:id="5"/>
      <w:r w:rsidRPr="003F5132">
        <w:t>Unit Sector</w:t>
      </w:r>
    </w:p>
    <w:p w:rsidR="00000000" w:rsidRPr="003F5132" w:rsidP="00DF6690">
      <w:pPr>
        <w:pStyle w:val="BodyText"/>
      </w:pPr>
      <w:r w:rsidRPr="003F5132">
        <w:t>Community Services</w:t>
      </w:r>
    </w:p>
    <w:p w:rsidR="00000000" w:rsidRPr="003F5132" w:rsidP="003F5132">
      <w:pPr>
        <w:pStyle w:val="Heading1"/>
      </w:pPr>
      <w:bookmarkStart w:id="6" w:name="O_1181380"/>
      <w:bookmarkEnd w:id="6"/>
      <w:r w:rsidRPr="003F513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F5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32" w:rsidP="003F5132">
            <w:pPr>
              <w:pStyle w:val="BodyText"/>
            </w:pPr>
            <w:r w:rsidRPr="003F513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32">
            <w:pPr>
              <w:pStyle w:val="BodyText"/>
              <w:rPr>
                <w:lang w:val="en-NZ"/>
              </w:rPr>
            </w:pPr>
            <w:r w:rsidRPr="003F5132">
              <w:rPr>
                <w:rStyle w:val="SpecialBold"/>
              </w:rPr>
              <w:t>PERFORMANCE</w:t>
            </w:r>
            <w:r w:rsidRPr="003F5132">
              <w:t xml:space="preserve"> </w:t>
            </w:r>
            <w:r w:rsidRPr="003F5132">
              <w:rPr>
                <w:rStyle w:val="SpecialBold"/>
              </w:rPr>
              <w:t>CRITERIA</w:t>
            </w:r>
          </w:p>
        </w:tc>
      </w:tr>
      <w:tr w:rsidTr="003F5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32" w:rsidP="003F5132">
            <w:pPr>
              <w:pStyle w:val="BodyText"/>
            </w:pPr>
            <w:r w:rsidRPr="003F513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32">
            <w:pPr>
              <w:pStyle w:val="BodyText"/>
              <w:rPr>
                <w:lang w:val="en-NZ"/>
              </w:rPr>
            </w:pPr>
            <w:r w:rsidRPr="003F513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F5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4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32">
            <w:pPr>
              <w:pStyle w:val="List"/>
              <w:rPr>
                <w:lang w:val="en-NZ"/>
              </w:rPr>
            </w:pPr>
            <w:r w:rsidRPr="003F5132">
              <w:t>1.  Determine client needs and prepare for tenancy.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32" w:rsidP="003F5132">
            <w:pPr>
              <w:pStyle w:val="List"/>
            </w:pPr>
            <w:r w:rsidRPr="003F5132">
              <w:t>1.1. Identify complex needs that may impact on the client’s ability to sustain the tenancy.</w:t>
            </w:r>
          </w:p>
          <w:p w:rsidR="00000000" w:rsidRPr="003F5132" w:rsidP="003F5132">
            <w:pPr>
              <w:pStyle w:val="List"/>
            </w:pPr>
            <w:r w:rsidRPr="003F5132">
              <w:t>1.2. Identify c</w:t>
            </w:r>
            <w:r w:rsidRPr="003F5132">
              <w:t>ommunity and health service provider arrangements in place.</w:t>
            </w:r>
          </w:p>
          <w:p w:rsidR="00000000" w:rsidRPr="003F5132" w:rsidP="003F5132">
            <w:pPr>
              <w:pStyle w:val="List"/>
            </w:pPr>
            <w:r w:rsidRPr="003F5132">
              <w:t>1.3. Develop tenancy sustainment plan in consultation with client.</w:t>
            </w:r>
          </w:p>
          <w:p w:rsidR="00000000" w:rsidP="003F5132">
            <w:pPr>
              <w:pStyle w:val="List"/>
              <w:rPr>
                <w:lang w:val="en-NZ"/>
              </w:rPr>
            </w:pPr>
            <w:r w:rsidRPr="003F5132">
              <w:t>1.4. Use tenant induction process to prepare client for tenancy.</w:t>
            </w:r>
          </w:p>
        </w:tc>
      </w:tr>
      <w:tr w:rsidTr="003F5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32">
            <w:pPr>
              <w:pStyle w:val="List"/>
              <w:rPr>
                <w:lang w:val="en-NZ"/>
              </w:rPr>
            </w:pPr>
            <w:r w:rsidRPr="003F5132">
              <w:t>2.  Establish and mitigate risks regarding tenant’s tenancy.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32" w:rsidP="003F5132">
            <w:pPr>
              <w:pStyle w:val="List"/>
            </w:pPr>
            <w:r w:rsidRPr="003F5132">
              <w:t>2.1. Identify and assess pre-tenancy risks.</w:t>
            </w:r>
          </w:p>
          <w:p w:rsidR="00000000" w:rsidRPr="003F5132" w:rsidP="003F5132">
            <w:pPr>
              <w:pStyle w:val="List"/>
            </w:pPr>
            <w:r w:rsidRPr="003F5132">
              <w:t>2.2. Identify and assess risks during tenancy.</w:t>
            </w:r>
          </w:p>
          <w:p w:rsidR="00000000" w:rsidRPr="003F5132" w:rsidP="003F5132">
            <w:pPr>
              <w:pStyle w:val="List"/>
            </w:pPr>
            <w:r w:rsidRPr="003F5132">
              <w:t>2.3. Ensure identified risks are mitigated for each stage of the tenant journey.</w:t>
            </w:r>
          </w:p>
          <w:p w:rsidR="00000000" w:rsidRPr="003F5132" w:rsidP="003F5132">
            <w:pPr>
              <w:pStyle w:val="List"/>
            </w:pPr>
            <w:r w:rsidRPr="003F5132">
              <w:t>2.4. Identify policy and legal implications for the tenant’s housing.</w:t>
            </w:r>
          </w:p>
          <w:p w:rsidR="00000000" w:rsidP="003F5132">
            <w:pPr>
              <w:pStyle w:val="List"/>
              <w:rPr>
                <w:lang w:val="en-NZ"/>
              </w:rPr>
            </w:pPr>
            <w:r w:rsidRPr="003F5132">
              <w:t xml:space="preserve">2.5. Document </w:t>
            </w:r>
            <w:r w:rsidRPr="003F5132">
              <w:t>risk assessment and mitigation according to organisational policies and procedures.</w:t>
            </w:r>
          </w:p>
        </w:tc>
      </w:tr>
      <w:tr w:rsidTr="003F5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32">
            <w:pPr>
              <w:pStyle w:val="List"/>
              <w:rPr>
                <w:lang w:val="en-NZ"/>
              </w:rPr>
            </w:pPr>
            <w:r w:rsidRPr="003F5132">
              <w:t>3.  Work with community and health service providers to identify and assist tenants at risk of tenancy breakdown.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32" w:rsidP="003F5132">
            <w:pPr>
              <w:pStyle w:val="List"/>
            </w:pPr>
            <w:r w:rsidRPr="003F5132">
              <w:t xml:space="preserve">3.1. Check progress against the tenancy sustainment plan </w:t>
            </w:r>
            <w:r w:rsidRPr="003F5132">
              <w:t>at required regular intervals.</w:t>
            </w:r>
          </w:p>
          <w:p w:rsidR="00000000" w:rsidRPr="003F5132" w:rsidP="003F5132">
            <w:pPr>
              <w:pStyle w:val="List"/>
            </w:pPr>
            <w:r w:rsidRPr="003F5132">
              <w:t>3.2. Recognise issues that may contribute to tenancy breakdown.</w:t>
            </w:r>
          </w:p>
          <w:p w:rsidR="00000000" w:rsidRPr="003F5132" w:rsidP="003F5132">
            <w:pPr>
              <w:pStyle w:val="List"/>
            </w:pPr>
            <w:r w:rsidRPr="003F5132">
              <w:t>3.3. Identify tenants at risk of tenancy breakdown.</w:t>
            </w:r>
          </w:p>
          <w:p w:rsidR="00000000" w:rsidRPr="003F5132" w:rsidP="003F5132">
            <w:pPr>
              <w:pStyle w:val="List"/>
            </w:pPr>
            <w:r w:rsidRPr="003F5132">
              <w:t>3.4. Work with agencies to secure community and health service providers.</w:t>
            </w:r>
          </w:p>
          <w:p w:rsidR="00000000" w:rsidRPr="003F5132" w:rsidP="003F5132">
            <w:pPr>
              <w:pStyle w:val="List"/>
            </w:pPr>
            <w:r w:rsidRPr="003F5132">
              <w:t>3.5. Maintain partnerships with com</w:t>
            </w:r>
            <w:r w:rsidRPr="003F5132">
              <w:t>munity and health service providers.</w:t>
            </w:r>
          </w:p>
          <w:p w:rsidR="00000000" w:rsidP="003F5132">
            <w:pPr>
              <w:pStyle w:val="List"/>
              <w:rPr>
                <w:lang w:val="en-NZ"/>
              </w:rPr>
            </w:pPr>
            <w:r w:rsidRPr="003F5132">
              <w:t>3.6. Maintain currency of community and health service provider contact details.</w:t>
            </w:r>
          </w:p>
        </w:tc>
      </w:tr>
      <w:tr w:rsidTr="003F5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32">
            <w:pPr>
              <w:pStyle w:val="List"/>
              <w:rPr>
                <w:lang w:val="en-NZ"/>
              </w:rPr>
            </w:pPr>
            <w:r w:rsidRPr="003F5132">
              <w:t>4.  Promote tenant rights and responsibilities.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32" w:rsidP="003F5132">
            <w:pPr>
              <w:pStyle w:val="List"/>
            </w:pPr>
            <w:r w:rsidRPr="003F5132">
              <w:t>4.1. Develop own knowledge of State or Territory-based housing legislation and tenancy ri</w:t>
            </w:r>
            <w:r w:rsidRPr="003F5132">
              <w:t>ghts.</w:t>
            </w:r>
          </w:p>
          <w:p w:rsidR="00000000" w:rsidRPr="003F5132" w:rsidP="003F5132">
            <w:pPr>
              <w:pStyle w:val="List"/>
            </w:pPr>
            <w:r w:rsidRPr="003F5132">
              <w:t>4.2. Refer to tenancy advice to inform tenants of their rights and responsibilities.</w:t>
            </w:r>
          </w:p>
          <w:p w:rsidR="00000000" w:rsidRPr="003F5132" w:rsidP="003F5132">
            <w:pPr>
              <w:pStyle w:val="List"/>
            </w:pPr>
            <w:r w:rsidRPr="003F5132">
              <w:t>4.3. Ensure housing providers uphold tenants’ rights and responsibilities.</w:t>
            </w:r>
          </w:p>
          <w:p w:rsidR="00000000" w:rsidRPr="003F5132" w:rsidP="003F5132">
            <w:pPr>
              <w:pStyle w:val="List"/>
            </w:pPr>
            <w:r w:rsidRPr="003F5132">
              <w:t>4.4. Confirm tenants receive a copy of their lease agreement.</w:t>
            </w:r>
          </w:p>
          <w:p w:rsidR="00000000" w:rsidRPr="003F5132" w:rsidP="003F5132">
            <w:pPr>
              <w:pStyle w:val="List"/>
            </w:pPr>
            <w:r w:rsidRPr="003F5132">
              <w:t>4.5. Assist tenants to understand responsibilities of the social housing worker and workers in other agencies.</w:t>
            </w:r>
          </w:p>
          <w:p w:rsidR="00000000" w:rsidP="003F5132">
            <w:pPr>
              <w:pStyle w:val="List"/>
              <w:rPr>
                <w:lang w:val="en-NZ"/>
              </w:rPr>
            </w:pPr>
            <w:r w:rsidRPr="003F5132">
              <w:t>4.6. Assist tenants to understand processes for repairs and provide phone numbers to contact the relevant housing authority and anticipated respo</w:t>
            </w:r>
            <w:r w:rsidRPr="003F5132">
              <w:t>nse times.</w:t>
            </w:r>
          </w:p>
        </w:tc>
      </w:tr>
      <w:tr w:rsidTr="003F5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32">
            <w:pPr>
              <w:pStyle w:val="List"/>
              <w:rPr>
                <w:lang w:val="en-NZ"/>
              </w:rPr>
            </w:pPr>
            <w:r w:rsidRPr="003F5132">
              <w:t>5.  Assist tenants to avoid rent arrears and recover if they fall into rent arrears.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32" w:rsidP="003F5132">
            <w:pPr>
              <w:pStyle w:val="List"/>
            </w:pPr>
            <w:r w:rsidRPr="003F5132">
              <w:t>5.1. Develop tenant financial literacy and management skills through direct support or referral.</w:t>
            </w:r>
          </w:p>
          <w:p w:rsidR="00000000" w:rsidRPr="003F5132" w:rsidP="003F5132">
            <w:pPr>
              <w:pStyle w:val="List"/>
            </w:pPr>
            <w:r w:rsidRPr="003F5132">
              <w:t>5.2. Identify rent arrears within required time period.</w:t>
            </w:r>
          </w:p>
          <w:p w:rsidR="00000000" w:rsidRPr="003F5132" w:rsidP="003F5132">
            <w:pPr>
              <w:pStyle w:val="List"/>
            </w:pPr>
            <w:r w:rsidRPr="003F5132">
              <w:t>5.3. A</w:t>
            </w:r>
            <w:r w:rsidRPr="003F5132">
              <w:t>ssist tenant with early intervention and referrals to prevent escalating arrears.</w:t>
            </w:r>
          </w:p>
          <w:p w:rsidR="00000000" w:rsidRPr="003F5132" w:rsidP="003F5132">
            <w:pPr>
              <w:pStyle w:val="List"/>
            </w:pPr>
            <w:r w:rsidRPr="003F5132">
              <w:t>5.4. Use proactive methods to establish a repayment plan.</w:t>
            </w:r>
          </w:p>
          <w:p w:rsidR="00000000" w:rsidP="003F5132">
            <w:pPr>
              <w:pStyle w:val="List"/>
              <w:rPr>
                <w:lang w:val="en-NZ"/>
              </w:rPr>
            </w:pPr>
            <w:r w:rsidRPr="003F5132">
              <w:t>5.5. Identify potential exit to homelessness and locate alternative housing options.</w:t>
            </w:r>
          </w:p>
        </w:tc>
      </w:tr>
      <w:tr w:rsidTr="003F5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32">
            <w:pPr>
              <w:pStyle w:val="List"/>
              <w:rPr>
                <w:lang w:val="en-NZ"/>
              </w:rPr>
            </w:pPr>
            <w:r w:rsidRPr="003F5132">
              <w:t>6.  Build tenant skills.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32" w:rsidP="003F5132">
            <w:pPr>
              <w:pStyle w:val="List"/>
            </w:pPr>
            <w:r w:rsidRPr="003F5132">
              <w:t xml:space="preserve">6.1. </w:t>
            </w:r>
            <w:r w:rsidRPr="003F5132">
              <w:t>Identify gaps in tenant’s skills for daily living.</w:t>
            </w:r>
          </w:p>
          <w:p w:rsidR="00000000" w:rsidP="003F5132">
            <w:pPr>
              <w:pStyle w:val="List"/>
              <w:rPr>
                <w:lang w:val="en-NZ"/>
              </w:rPr>
            </w:pPr>
            <w:r w:rsidRPr="003F5132">
              <w:t xml:space="preserve">6.2. Provide ongoing support to develop daily living skills through direct support and referral. </w:t>
            </w:r>
          </w:p>
        </w:tc>
      </w:tr>
      <w:tr w:rsidTr="003F5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32">
            <w:pPr>
              <w:pStyle w:val="List"/>
              <w:rPr>
                <w:lang w:val="en-NZ"/>
              </w:rPr>
            </w:pPr>
            <w:r w:rsidRPr="003F5132">
              <w:t>7.  Provide tenants with referrals to community and health service providers.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32" w:rsidP="003F5132">
            <w:pPr>
              <w:pStyle w:val="List"/>
            </w:pPr>
            <w:r w:rsidRPr="003F5132">
              <w:t xml:space="preserve">7.1. Apply a person-centred </w:t>
            </w:r>
            <w:r w:rsidRPr="003F5132">
              <w:t>approach to making referrals.</w:t>
            </w:r>
          </w:p>
          <w:p w:rsidR="00000000" w:rsidRPr="003F5132" w:rsidP="003F5132">
            <w:pPr>
              <w:pStyle w:val="List"/>
            </w:pPr>
            <w:r w:rsidRPr="003F5132">
              <w:t>7.2. Attain consent from tenant to provide referral to community and health service provider.</w:t>
            </w:r>
          </w:p>
          <w:p w:rsidR="00000000" w:rsidRPr="003F5132" w:rsidP="003F5132">
            <w:pPr>
              <w:pStyle w:val="List"/>
            </w:pPr>
            <w:r w:rsidRPr="003F5132">
              <w:t>7.3. Review engagement and gaps with community and health service providers at required intervals.</w:t>
            </w:r>
          </w:p>
          <w:p w:rsidR="00000000" w:rsidRPr="003F5132" w:rsidP="003F5132">
            <w:pPr>
              <w:pStyle w:val="List"/>
            </w:pPr>
            <w:r w:rsidRPr="003F5132">
              <w:t>7.4. Obtain tenant feedback to en</w:t>
            </w:r>
            <w:r w:rsidRPr="003F5132">
              <w:t>sure community and health service providers are appropriate for the needs of the tenant.</w:t>
            </w:r>
          </w:p>
        </w:tc>
      </w:tr>
    </w:tbl>
    <w:p w:rsidR="00000000" w:rsidRPr="003F5132" w:rsidP="003F5132">
      <w:pPr>
        <w:pStyle w:val="BodyText"/>
      </w:pPr>
    </w:p>
    <w:p w:rsidR="00000000" w:rsidRPr="003F5132" w:rsidP="003F5132">
      <w:pPr>
        <w:pStyle w:val="AllowPageBreak"/>
      </w:pPr>
    </w:p>
    <w:p w:rsidR="00000000" w:rsidRPr="003F5132" w:rsidP="003F5132">
      <w:pPr>
        <w:pStyle w:val="Heading1"/>
      </w:pPr>
      <w:bookmarkStart w:id="7" w:name="O_1181381"/>
      <w:bookmarkEnd w:id="7"/>
      <w:r w:rsidRPr="003F5132">
        <w:t>Foundation Skills</w:t>
      </w:r>
    </w:p>
    <w:p w:rsidR="00000000" w:rsidRPr="003F5132" w:rsidP="00DF6690">
      <w:pPr>
        <w:pStyle w:val="BodyText"/>
      </w:pPr>
      <w:r w:rsidRPr="003F5132">
        <w:t>Foundation skills essential to performance are explicit in the performance criteria of this unit of competency.</w:t>
      </w:r>
    </w:p>
    <w:p w:rsidR="00000000" w:rsidRPr="003F5132" w:rsidP="003F5132">
      <w:pPr>
        <w:pStyle w:val="Heading1"/>
      </w:pPr>
      <w:bookmarkStart w:id="8" w:name="O_1181383"/>
      <w:bookmarkEnd w:id="8"/>
      <w:r w:rsidRPr="003F5132">
        <w:t>Unit Mapping Information</w:t>
      </w:r>
    </w:p>
    <w:p w:rsidR="00000000" w:rsidRPr="003F5132" w:rsidP="00DF6690">
      <w:pPr>
        <w:pStyle w:val="BodyText"/>
      </w:pPr>
      <w:r w:rsidRPr="003F5132">
        <w:t>No equivalent unit.</w:t>
      </w:r>
    </w:p>
    <w:p w:rsidR="00000000" w:rsidRPr="003F5132" w:rsidP="003F5132">
      <w:pPr>
        <w:pStyle w:val="Heading1"/>
      </w:pPr>
      <w:bookmarkStart w:id="9" w:name="O_1181390"/>
      <w:bookmarkEnd w:id="9"/>
      <w:r w:rsidRPr="003F5132">
        <w:t>Links</w:t>
      </w:r>
    </w:p>
    <w:p w:rsidR="00000000" w:rsidRPr="003F5132" w:rsidP="00DF6690">
      <w:pPr>
        <w:pStyle w:val="BodyText"/>
      </w:pPr>
      <w:r w:rsidRPr="003F51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5632D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F5132" w:rsidP="00DF6690">
      <w:pPr>
        <w:pStyle w:val="BodyText"/>
        <w:sectPr w:rsidSect="003F513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F5132" w:rsidP="003F5132">
      <w:pPr>
        <w:pStyle w:val="SuperHeading"/>
      </w:pPr>
      <w:r w:rsidRPr="003F5132">
        <w:t>Assessment Requirements for CHCSOH024 Support sustainable tenancies</w:t>
      </w:r>
    </w:p>
    <w:p w:rsidR="00000000" w:rsidRPr="003F5132" w:rsidP="003F5132">
      <w:pPr>
        <w:pStyle w:val="Heading1"/>
      </w:pPr>
      <w:bookmarkStart w:id="10" w:name="O_1181385"/>
      <w:bookmarkEnd w:id="10"/>
      <w:r w:rsidRPr="003F5132">
        <w:t>Modification History</w:t>
      </w:r>
    </w:p>
    <w:p w:rsidR="00000000" w:rsidRPr="003F5132" w:rsidP="00DF6690">
      <w:pPr>
        <w:pStyle w:val="BodyText"/>
      </w:pPr>
      <w:r w:rsidRPr="003F5132">
        <w:t>Release 1. CHCSOH024 Support sustainable tenancies. New unit. No equivalent unit.</w:t>
      </w:r>
    </w:p>
    <w:p w:rsidR="00000000" w:rsidRPr="003F5132" w:rsidP="003F5132">
      <w:pPr>
        <w:pStyle w:val="Heading1"/>
      </w:pPr>
      <w:bookmarkStart w:id="11" w:name="O_1181386"/>
      <w:bookmarkEnd w:id="11"/>
      <w:r w:rsidRPr="003F5132">
        <w:t>Performance Evidence</w:t>
      </w:r>
    </w:p>
    <w:p w:rsidR="00000000" w:rsidRPr="003F5132" w:rsidP="00DF6690">
      <w:pPr>
        <w:pStyle w:val="BodyText"/>
      </w:pPr>
      <w:r w:rsidRPr="003F5132">
        <w:t>Evidence of the ability to complete tasks outlined in elements and performance criteria of this unit in the context of the job role, and:</w:t>
      </w:r>
    </w:p>
    <w:p w:rsidR="00000000" w:rsidRPr="003F5132" w:rsidP="003F5132">
      <w:pPr>
        <w:pStyle w:val="ListBullet"/>
      </w:pPr>
      <w:r w:rsidRPr="003F5132">
        <w:t>develop a tenancy sustainment plan for two clients including one client transitioning from homelessness to securing a</w:t>
      </w:r>
      <w:r w:rsidRPr="003F5132">
        <w:t xml:space="preserve"> tenancy </w:t>
      </w:r>
    </w:p>
    <w:p w:rsidR="00000000" w:rsidRPr="003F5132" w:rsidP="003F5132">
      <w:pPr>
        <w:pStyle w:val="ListBullet"/>
      </w:pPr>
      <w:r w:rsidRPr="003F5132">
        <w:t>support one tenant to address a tenancy breach notice</w:t>
      </w:r>
    </w:p>
    <w:p w:rsidR="00000000" w:rsidRPr="003F5132" w:rsidP="003F5132">
      <w:pPr>
        <w:pStyle w:val="ListBullet"/>
      </w:pPr>
      <w:r w:rsidRPr="003F5132">
        <w:t>engage with five community and health service providers to deliver holistic and coordinated support arrangements to one or more tenants that involves:</w:t>
      </w:r>
    </w:p>
    <w:p w:rsidR="00000000" w:rsidRPr="003F5132" w:rsidP="003F5132">
      <w:pPr>
        <w:pStyle w:val="ListBullet2"/>
      </w:pPr>
      <w:r w:rsidRPr="003F5132">
        <w:t xml:space="preserve">supporting connection to community  </w:t>
      </w:r>
    </w:p>
    <w:p w:rsidR="00000000" w:rsidRPr="003F5132" w:rsidP="003F5132">
      <w:pPr>
        <w:pStyle w:val="ListBullet2"/>
      </w:pPr>
      <w:r w:rsidRPr="003F5132">
        <w:t>supporting linkages to community</w:t>
      </w:r>
    </w:p>
    <w:p w:rsidR="00000000" w:rsidRPr="003F5132" w:rsidP="003F5132">
      <w:pPr>
        <w:pStyle w:val="ListBullet2"/>
      </w:pPr>
      <w:r w:rsidRPr="003F5132">
        <w:t>providing clients with a physical orientation where key services are located in the community:</w:t>
      </w:r>
    </w:p>
    <w:p w:rsidR="00000000" w:rsidRPr="003F5132" w:rsidP="003F5132">
      <w:pPr>
        <w:pStyle w:val="ListBullet3"/>
      </w:pPr>
      <w:r w:rsidRPr="003F5132">
        <w:t>library</w:t>
      </w:r>
    </w:p>
    <w:p w:rsidR="00000000" w:rsidRPr="003F5132" w:rsidP="003F5132">
      <w:pPr>
        <w:pStyle w:val="ListBullet3"/>
      </w:pPr>
      <w:r w:rsidRPr="003F5132">
        <w:t>medical services</w:t>
      </w:r>
    </w:p>
    <w:p w:rsidR="00000000" w:rsidRPr="003F5132" w:rsidP="003F5132">
      <w:pPr>
        <w:pStyle w:val="ListBullet2"/>
      </w:pPr>
      <w:r w:rsidRPr="003F5132">
        <w:t xml:space="preserve">providing clients with information that supports resettlement, stabilisation and orientation to </w:t>
      </w:r>
      <w:r w:rsidRPr="003F5132">
        <w:t>the local area</w:t>
      </w:r>
    </w:p>
    <w:p w:rsidR="00000000" w:rsidRPr="003F5132" w:rsidP="003F5132">
      <w:pPr>
        <w:pStyle w:val="ListBullet2"/>
      </w:pPr>
      <w:r w:rsidRPr="003F5132">
        <w:t>using public transport with the client to support orientation to local area.</w:t>
      </w:r>
    </w:p>
    <w:p w:rsidR="00000000" w:rsidRPr="003F5132" w:rsidP="003F5132">
      <w:pPr>
        <w:pStyle w:val="AllowPageBreak"/>
      </w:pPr>
    </w:p>
    <w:p w:rsidR="00000000" w:rsidRPr="003F5132" w:rsidP="003F5132">
      <w:pPr>
        <w:pStyle w:val="Heading1"/>
      </w:pPr>
      <w:bookmarkStart w:id="12" w:name="O_1181387"/>
      <w:bookmarkEnd w:id="12"/>
      <w:r w:rsidRPr="003F5132">
        <w:t>Knowledge Evidence</w:t>
      </w:r>
    </w:p>
    <w:p w:rsidR="00000000" w:rsidRPr="003F5132" w:rsidP="00DF6690">
      <w:pPr>
        <w:pStyle w:val="BodyText"/>
      </w:pPr>
      <w:r w:rsidRPr="003F5132">
        <w:t>Demonstrated knowledge required to complete the tasks outlined in elements and performance criteria of this unit:</w:t>
      </w:r>
    </w:p>
    <w:p w:rsidR="00000000" w:rsidRPr="003F5132" w:rsidP="003F5132">
      <w:pPr>
        <w:pStyle w:val="ListBullet"/>
      </w:pPr>
      <w:r w:rsidRPr="003F5132">
        <w:t xml:space="preserve">principles </w:t>
      </w:r>
      <w:r w:rsidRPr="003F5132">
        <w:t xml:space="preserve">of sustaining tenancies </w:t>
      </w:r>
    </w:p>
    <w:p w:rsidR="00000000" w:rsidRPr="003F5132" w:rsidP="003F5132">
      <w:pPr>
        <w:pStyle w:val="ListBullet"/>
      </w:pPr>
      <w:r w:rsidRPr="003F5132">
        <w:t>techniques for the identification of support required</w:t>
      </w:r>
    </w:p>
    <w:p w:rsidR="00000000" w:rsidRPr="003F5132" w:rsidP="003F5132">
      <w:pPr>
        <w:pStyle w:val="ListBullet"/>
      </w:pPr>
      <w:r w:rsidRPr="003F5132">
        <w:t>referral processes</w:t>
      </w:r>
    </w:p>
    <w:p w:rsidR="00000000" w:rsidRPr="003F5132" w:rsidP="003F5132">
      <w:pPr>
        <w:pStyle w:val="ListBullet"/>
      </w:pPr>
      <w:r w:rsidRPr="003F5132">
        <w:t>types of employment support</w:t>
      </w:r>
    </w:p>
    <w:p w:rsidR="00000000" w:rsidRPr="003F5132" w:rsidP="003F5132">
      <w:pPr>
        <w:pStyle w:val="ListBullet"/>
      </w:pPr>
      <w:r w:rsidRPr="003F5132">
        <w:t>key elements of the sustainable tenancy toolkit</w:t>
      </w:r>
    </w:p>
    <w:p w:rsidR="00000000" w:rsidRPr="003F5132" w:rsidP="003F5132">
      <w:pPr>
        <w:pStyle w:val="ListBullet"/>
      </w:pPr>
      <w:r w:rsidRPr="003F5132">
        <w:t>Council of Homeless Persons good practice guide:</w:t>
      </w:r>
    </w:p>
    <w:p w:rsidR="00000000" w:rsidRPr="003F5132" w:rsidP="003F5132">
      <w:pPr>
        <w:pStyle w:val="ListBullet2"/>
      </w:pPr>
      <w:r w:rsidRPr="003F5132">
        <w:t>su</w:t>
      </w:r>
      <w:r w:rsidRPr="003F5132">
        <w:t>pporting resettlement and stabilisation</w:t>
      </w:r>
    </w:p>
    <w:p w:rsidR="00000000" w:rsidRPr="003F5132" w:rsidP="003F5132">
      <w:pPr>
        <w:pStyle w:val="ListBullet"/>
      </w:pPr>
      <w:r w:rsidRPr="003F5132">
        <w:t xml:space="preserve">rental system </w:t>
      </w:r>
    </w:p>
    <w:p w:rsidR="00000000" w:rsidRPr="003F5132" w:rsidP="003F5132">
      <w:pPr>
        <w:pStyle w:val="ListBullet"/>
      </w:pPr>
      <w:r w:rsidRPr="003F5132">
        <w:t>residential tenancy legislation including appeal process and tenant right of appeal</w:t>
      </w:r>
    </w:p>
    <w:p w:rsidR="00000000" w:rsidRPr="003F5132" w:rsidP="003F5132">
      <w:pPr>
        <w:pStyle w:val="ListBullet"/>
      </w:pPr>
      <w:r w:rsidRPr="003F5132">
        <w:t>primary, secondary and tertiary definitions of homelessness:</w:t>
      </w:r>
    </w:p>
    <w:p w:rsidR="00000000" w:rsidRPr="003F5132" w:rsidP="003F5132">
      <w:pPr>
        <w:pStyle w:val="ListBullet2"/>
      </w:pPr>
      <w:r w:rsidRPr="003F5132">
        <w:t>range of issues impacting on people who are experienci</w:t>
      </w:r>
      <w:r w:rsidRPr="003F5132">
        <w:t xml:space="preserve">ng homelessness or at risk of becoming homeless </w:t>
      </w:r>
    </w:p>
    <w:p w:rsidR="00000000" w:rsidRPr="003F5132" w:rsidP="003F5132">
      <w:pPr>
        <w:pStyle w:val="ListBullet2"/>
      </w:pPr>
      <w:r w:rsidRPr="003F5132">
        <w:t>socioeconomic impact of homelessness</w:t>
      </w:r>
    </w:p>
    <w:p w:rsidR="00000000" w:rsidRPr="003F5132" w:rsidP="003F5132">
      <w:pPr>
        <w:pStyle w:val="ListBullet2"/>
      </w:pPr>
      <w:r w:rsidRPr="003F5132">
        <w:t>risk and contributing factors of homelessness</w:t>
      </w:r>
    </w:p>
    <w:p w:rsidR="00000000" w:rsidRPr="003F5132" w:rsidP="003F5132">
      <w:pPr>
        <w:pStyle w:val="ListBullet"/>
      </w:pPr>
      <w:r w:rsidRPr="003F5132">
        <w:t>types of community and health service providers and their role</w:t>
      </w:r>
    </w:p>
    <w:p w:rsidR="00000000" w:rsidRPr="003F5132" w:rsidP="003F5132">
      <w:pPr>
        <w:pStyle w:val="ListBullet"/>
      </w:pPr>
      <w:r w:rsidRPr="003F5132">
        <w:t>types of tenancy arrangements:</w:t>
      </w:r>
    </w:p>
    <w:p w:rsidR="00000000" w:rsidRPr="003F5132" w:rsidP="003F5132">
      <w:pPr>
        <w:pStyle w:val="ListBullet2"/>
      </w:pPr>
      <w:r w:rsidRPr="003F5132">
        <w:t>share housing</w:t>
      </w:r>
    </w:p>
    <w:p w:rsidR="00000000" w:rsidRPr="003F5132" w:rsidP="003F5132">
      <w:pPr>
        <w:pStyle w:val="ListBullet2"/>
      </w:pPr>
      <w:r w:rsidRPr="003F5132">
        <w:t>rooming and boarding houses</w:t>
      </w:r>
    </w:p>
    <w:p w:rsidR="00000000" w:rsidRPr="003F5132" w:rsidP="003F5132">
      <w:pPr>
        <w:pStyle w:val="ListBullet"/>
      </w:pPr>
      <w:r w:rsidRPr="003F5132">
        <w:t>warning signs of tenant falling into arrears</w:t>
      </w:r>
    </w:p>
    <w:p w:rsidR="00000000" w:rsidRPr="003F5132" w:rsidP="003F5132">
      <w:pPr>
        <w:pStyle w:val="ListBullet"/>
      </w:pPr>
      <w:r w:rsidRPr="003F5132">
        <w:t>organisational policies and procedures applicable to supporting sustainable tenancies</w:t>
      </w:r>
    </w:p>
    <w:p w:rsidR="00000000" w:rsidRPr="003F5132" w:rsidP="003F5132">
      <w:pPr>
        <w:pStyle w:val="ListBullet"/>
      </w:pPr>
      <w:r w:rsidRPr="003F5132">
        <w:t>organisational and legislative reporting requirements applicable to supporting sustainable tenan</w:t>
      </w:r>
      <w:r w:rsidRPr="003F5132">
        <w:t>cies</w:t>
      </w:r>
    </w:p>
    <w:p w:rsidR="00000000" w:rsidRPr="003F5132" w:rsidP="003F5132">
      <w:pPr>
        <w:pStyle w:val="ListBullet"/>
      </w:pPr>
      <w:r w:rsidRPr="003F5132">
        <w:t>right to housing as evidenced in the Universal Declaration of Human Rights (UDHR) 1948 and the International Covenant on Economic, Social and Cultural Rights (ICESCR) 1966.</w:t>
      </w:r>
    </w:p>
    <w:p w:rsidR="00000000" w:rsidRPr="003F5132" w:rsidP="003F5132">
      <w:pPr>
        <w:pStyle w:val="AllowPageBreak"/>
      </w:pPr>
    </w:p>
    <w:p w:rsidR="00000000" w:rsidRPr="003F5132" w:rsidP="003F5132">
      <w:pPr>
        <w:pStyle w:val="Heading1"/>
      </w:pPr>
      <w:bookmarkStart w:id="13" w:name="O_1181388"/>
      <w:bookmarkEnd w:id="13"/>
      <w:r w:rsidRPr="003F5132">
        <w:t>Assessment Conditions</w:t>
      </w:r>
    </w:p>
    <w:p w:rsidR="00000000" w:rsidRPr="003F5132" w:rsidP="00DF6690">
      <w:pPr>
        <w:pStyle w:val="BodyText"/>
      </w:pPr>
      <w:r w:rsidRPr="003F5132">
        <w:t>Skills must be demonstrated in the wo</w:t>
      </w:r>
      <w:r w:rsidRPr="003F5132">
        <w:t>rkplace or in a simulated environment that reflects workplace conditions.</w:t>
      </w:r>
    </w:p>
    <w:p w:rsidR="00000000" w:rsidRPr="003F5132" w:rsidP="00DF6690">
      <w:pPr>
        <w:pStyle w:val="BodyText"/>
      </w:pPr>
      <w:r w:rsidRPr="003F5132">
        <w:t>Assessment must ensure:</w:t>
      </w:r>
    </w:p>
    <w:p w:rsidR="00000000" w:rsidRPr="003F5132" w:rsidP="003F5132">
      <w:pPr>
        <w:pStyle w:val="ListBullet"/>
      </w:pPr>
      <w:r w:rsidRPr="003F5132">
        <w:t>access to suitable facilities, equipment and resources</w:t>
      </w:r>
    </w:p>
    <w:p w:rsidR="00000000" w:rsidRPr="003F5132" w:rsidP="003F5132">
      <w:pPr>
        <w:pStyle w:val="ListBullet"/>
      </w:pPr>
      <w:r w:rsidRPr="003F5132">
        <w:t>access to organisational policies and procedures</w:t>
      </w:r>
    </w:p>
    <w:p w:rsidR="00000000" w:rsidRPr="003F5132" w:rsidP="003F5132">
      <w:pPr>
        <w:pStyle w:val="ListBullet"/>
      </w:pPr>
      <w:r w:rsidRPr="003F5132">
        <w:t>opportunities for engagement with clients and multiple agencies.</w:t>
      </w:r>
    </w:p>
    <w:p w:rsidR="00000000" w:rsidRPr="003F5132" w:rsidP="00DF6690">
      <w:pPr>
        <w:pStyle w:val="BodyText"/>
      </w:pPr>
      <w:r w:rsidRPr="003F5132">
        <w:t>Assessors must satisfy the Standards for Registered Training Organisations’ requirements for assessors.</w:t>
      </w:r>
    </w:p>
    <w:p w:rsidR="00000000" w:rsidRPr="003F5132" w:rsidP="003F5132">
      <w:pPr>
        <w:pStyle w:val="Heading1"/>
      </w:pPr>
      <w:bookmarkStart w:id="14" w:name="O_1181391"/>
      <w:bookmarkEnd w:id="14"/>
      <w:r w:rsidRPr="003F5132">
        <w:t>Links</w:t>
      </w:r>
    </w:p>
    <w:p w:rsidR="00000000" w:rsidRPr="003F5132" w:rsidP="00DF6690">
      <w:pPr>
        <w:pStyle w:val="BodyText"/>
      </w:pPr>
      <w:r w:rsidRPr="003F51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5632D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F5132" w:rsidP="003F5132"/>
    <w:sectPr w:rsidSect="003F513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1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132" w:rsidRPr="00DF6690" w:rsidP="00DF66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1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690" w:rsidP="003F51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6690" w:rsidP="003F51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DF6690" w:rsidP="003F513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132" w:rsidP="003F51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F6690">
      <w:t>Approved</w:t>
    </w:r>
    <w:r w:rsidR="00DF669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F669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F6690">
      <w:rPr>
        <w:noProof/>
      </w:rPr>
      <w:t>4</w:t>
    </w:r>
    <w:r>
      <w:rPr>
        <w:noProof/>
      </w:rPr>
      <w:fldChar w:fldCharType="end"/>
    </w:r>
  </w:p>
  <w:p w:rsidR="003F5132" w:rsidP="003F51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F669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F6690">
      <w:t>HumanAbility</w:t>
    </w:r>
    <w:r w:rsidR="00DF6690">
      <w:fldChar w:fldCharType="end"/>
    </w:r>
  </w:p>
  <w:p w:rsidR="003F5132" w:rsidP="003F51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1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6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5132" w:rsidRPr="00DF6690" w:rsidP="00DF66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1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690" w:rsidRPr="002D2AF8" w:rsidP="003F51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CHCSOH024 Support sustainable tenancies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F6690" w:rsidP="003F513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132" w:rsidRPr="002D2AF8" w:rsidP="003F51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F6690">
      <w:t>CHCSOH024 Support sustainable tenancies</w:t>
    </w:r>
    <w:r w:rsidR="00DF669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F6690">
      <w:rPr>
        <w:noProof/>
      </w:rPr>
      <w:t>1 March 2025</w:t>
    </w:r>
    <w:r>
      <w:fldChar w:fldCharType="end"/>
    </w:r>
  </w:p>
  <w:p w:rsidR="003F5132" w:rsidP="003F51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D0A1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D235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C811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1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51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51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51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51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51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51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51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51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51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51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5132"/>
  </w:style>
  <w:style w:type="character" w:customStyle="1" w:styleId="Heading1Char">
    <w:name w:val="Heading 1 Char"/>
    <w:basedOn w:val="DefaultParagraphFont"/>
    <w:link w:val="Heading1"/>
    <w:rsid w:val="003F51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51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513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F51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513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5132"/>
    <w:rPr>
      <w:b/>
      <w:spacing w:val="0"/>
    </w:rPr>
  </w:style>
  <w:style w:type="paragraph" w:styleId="ListBullet2">
    <w:name w:val="List Bullet 2"/>
    <w:basedOn w:val="List2"/>
    <w:rsid w:val="003F513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F5132"/>
    <w:rPr>
      <w:i/>
    </w:rPr>
  </w:style>
  <w:style w:type="paragraph" w:customStyle="1" w:styleId="SuperHeading">
    <w:name w:val="SuperHeading"/>
    <w:basedOn w:val="Normal"/>
    <w:rsid w:val="003F51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51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F513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F51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51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51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51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51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51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51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51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51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51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51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51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51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51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51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51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51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513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F51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51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51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51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51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51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51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51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51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51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51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51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51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51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51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51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5132"/>
  </w:style>
  <w:style w:type="paragraph" w:styleId="TableofFigures">
    <w:name w:val="table of figures"/>
    <w:basedOn w:val="Normal"/>
    <w:next w:val="Normal"/>
    <w:semiHidden/>
    <w:rsid w:val="003F51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513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F5132"/>
    <w:rPr>
      <w:rFonts w:ascii="Wingdings" w:hAnsi="Wingdings"/>
    </w:rPr>
  </w:style>
  <w:style w:type="paragraph" w:customStyle="1" w:styleId="TableHeading">
    <w:name w:val="Table Heading"/>
    <w:basedOn w:val="HeadingBase"/>
    <w:rsid w:val="003F51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5132"/>
    <w:rPr>
      <w:color w:val="0033CC"/>
      <w:u w:val="none"/>
    </w:rPr>
  </w:style>
  <w:style w:type="paragraph" w:customStyle="1" w:styleId="BodyTextRight">
    <w:name w:val="Body Text Right"/>
    <w:basedOn w:val="BodyText"/>
    <w:rsid w:val="003F51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51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513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51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51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51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5132"/>
    <w:rPr>
      <w:sz w:val="32"/>
    </w:rPr>
  </w:style>
  <w:style w:type="paragraph" w:customStyle="1" w:styleId="HeadingProcedure">
    <w:name w:val="Heading Procedure"/>
    <w:basedOn w:val="HeadingBase"/>
    <w:next w:val="Normal"/>
    <w:rsid w:val="003F51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5132"/>
    <w:pPr>
      <w:spacing w:before="60" w:after="60"/>
    </w:pPr>
  </w:style>
  <w:style w:type="paragraph" w:styleId="ListContinue">
    <w:name w:val="List Continue"/>
    <w:basedOn w:val="List"/>
    <w:rsid w:val="003F5132"/>
    <w:pPr>
      <w:ind w:firstLine="0"/>
    </w:pPr>
  </w:style>
  <w:style w:type="paragraph" w:customStyle="1" w:styleId="ListNote">
    <w:name w:val="List Note"/>
    <w:basedOn w:val="List"/>
    <w:rsid w:val="003F51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51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51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5132"/>
    <w:rPr>
      <w:rFonts w:ascii="Courier New" w:hAnsi="Courier New"/>
    </w:rPr>
  </w:style>
  <w:style w:type="paragraph" w:customStyle="1" w:styleId="NoteBullet">
    <w:name w:val="Note Bullet"/>
    <w:basedOn w:val="Note"/>
    <w:rsid w:val="003F51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51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51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51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513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F51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51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5132"/>
    <w:rPr>
      <w:b/>
      <w:smallCaps/>
    </w:rPr>
  </w:style>
  <w:style w:type="paragraph" w:customStyle="1" w:styleId="TableListNumber">
    <w:name w:val="Table List Number"/>
    <w:basedOn w:val="ListNumber"/>
    <w:rsid w:val="003F51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51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5132"/>
    <w:pPr>
      <w:numPr>
        <w:numId w:val="10"/>
      </w:numPr>
    </w:pPr>
  </w:style>
  <w:style w:type="paragraph" w:customStyle="1" w:styleId="ListAlpha2">
    <w:name w:val="List Alpha 2"/>
    <w:basedOn w:val="List2"/>
    <w:rsid w:val="003F5132"/>
    <w:pPr>
      <w:numPr>
        <w:numId w:val="9"/>
      </w:numPr>
    </w:pPr>
  </w:style>
  <w:style w:type="paragraph" w:styleId="List2">
    <w:name w:val="List 2"/>
    <w:basedOn w:val="BodyText"/>
    <w:rsid w:val="003F51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51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51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513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F513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F5132"/>
    <w:pPr>
      <w:numPr>
        <w:numId w:val="5"/>
      </w:numPr>
    </w:pPr>
  </w:style>
  <w:style w:type="paragraph" w:styleId="ListContinue2">
    <w:name w:val="List Continue 2"/>
    <w:basedOn w:val="List2"/>
    <w:rsid w:val="003F5132"/>
    <w:pPr>
      <w:ind w:firstLine="0"/>
    </w:pPr>
  </w:style>
  <w:style w:type="paragraph" w:styleId="ListContinue3">
    <w:name w:val="List Continue 3"/>
    <w:basedOn w:val="List3"/>
    <w:rsid w:val="003F5132"/>
    <w:pPr>
      <w:ind w:left="1021" w:firstLine="0"/>
    </w:pPr>
  </w:style>
  <w:style w:type="paragraph" w:styleId="ListContinue4">
    <w:name w:val="List Continue 4"/>
    <w:basedOn w:val="List4"/>
    <w:rsid w:val="003F5132"/>
    <w:pPr>
      <w:ind w:firstLine="0"/>
    </w:pPr>
  </w:style>
  <w:style w:type="paragraph" w:styleId="ListContinue5">
    <w:name w:val="List Continue 5"/>
    <w:basedOn w:val="List5"/>
    <w:rsid w:val="003F5132"/>
    <w:pPr>
      <w:ind w:firstLine="0"/>
    </w:pPr>
  </w:style>
  <w:style w:type="paragraph" w:styleId="ListNumber3">
    <w:name w:val="List Number 3"/>
    <w:basedOn w:val="List3"/>
    <w:rsid w:val="003F5132"/>
    <w:pPr>
      <w:numPr>
        <w:numId w:val="6"/>
      </w:numPr>
    </w:pPr>
  </w:style>
  <w:style w:type="paragraph" w:styleId="ListNumber4">
    <w:name w:val="List Number 4"/>
    <w:basedOn w:val="List4"/>
    <w:rsid w:val="003F5132"/>
    <w:pPr>
      <w:numPr>
        <w:numId w:val="7"/>
      </w:numPr>
    </w:pPr>
  </w:style>
  <w:style w:type="paragraph" w:styleId="ListNumber5">
    <w:name w:val="List Number 5"/>
    <w:basedOn w:val="List5"/>
    <w:rsid w:val="003F5132"/>
    <w:pPr>
      <w:numPr>
        <w:numId w:val="8"/>
      </w:numPr>
    </w:pPr>
  </w:style>
  <w:style w:type="paragraph" w:styleId="BlockText">
    <w:name w:val="Block Text"/>
    <w:basedOn w:val="Normal"/>
    <w:rsid w:val="003F51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51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5132"/>
    <w:rPr>
      <w:sz w:val="16"/>
      <w:vertAlign w:val="superscript"/>
    </w:rPr>
  </w:style>
  <w:style w:type="character" w:customStyle="1" w:styleId="Symbols">
    <w:name w:val="Symbols"/>
    <w:basedOn w:val="DefaultParagraphFont"/>
    <w:rsid w:val="003F5132"/>
    <w:rPr>
      <w:rFonts w:ascii="Symbol" w:hAnsi="Symbol"/>
    </w:rPr>
  </w:style>
  <w:style w:type="character" w:customStyle="1" w:styleId="MenuOptions">
    <w:name w:val="Menu Options"/>
    <w:basedOn w:val="DefaultParagraphFont"/>
    <w:rsid w:val="003F51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5132"/>
    <w:rPr>
      <w:b/>
    </w:rPr>
  </w:style>
  <w:style w:type="character" w:customStyle="1" w:styleId="Underlined">
    <w:name w:val="Underlined"/>
    <w:basedOn w:val="DefaultParagraphFont"/>
    <w:rsid w:val="003F5132"/>
    <w:rPr>
      <w:u w:val="single"/>
    </w:rPr>
  </w:style>
  <w:style w:type="paragraph" w:customStyle="1" w:styleId="TableBodyTextRight">
    <w:name w:val="Table Body Text Right"/>
    <w:basedOn w:val="TableBodyText"/>
    <w:rsid w:val="003F51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5132"/>
    <w:rPr>
      <w:sz w:val="18"/>
    </w:rPr>
  </w:style>
  <w:style w:type="paragraph" w:customStyle="1" w:styleId="BodySmallRight">
    <w:name w:val="Body Small Right"/>
    <w:basedOn w:val="BodyTextRight"/>
    <w:rsid w:val="003F5132"/>
    <w:rPr>
      <w:sz w:val="18"/>
      <w:szCs w:val="18"/>
    </w:rPr>
  </w:style>
  <w:style w:type="paragraph" w:customStyle="1" w:styleId="MarginEdition">
    <w:name w:val="Margin Edition"/>
    <w:basedOn w:val="MarginNote"/>
    <w:rsid w:val="003F51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5132"/>
    <w:rPr>
      <w:sz w:val="2"/>
      <w:szCs w:val="2"/>
    </w:rPr>
  </w:style>
  <w:style w:type="character" w:customStyle="1" w:styleId="Small">
    <w:name w:val="Small"/>
    <w:basedOn w:val="DefaultParagraphFont"/>
    <w:rsid w:val="003F5132"/>
    <w:rPr>
      <w:sz w:val="16"/>
    </w:rPr>
  </w:style>
  <w:style w:type="paragraph" w:customStyle="1" w:styleId="WideTable">
    <w:name w:val="Wide Table"/>
    <w:basedOn w:val="Normal"/>
    <w:rsid w:val="003F51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5132"/>
  </w:style>
  <w:style w:type="paragraph" w:styleId="Quote">
    <w:name w:val="Quote"/>
    <w:basedOn w:val="Heading1"/>
    <w:link w:val="QuoteChar"/>
    <w:qFormat/>
    <w:rsid w:val="003F51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51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5132"/>
    <w:pPr>
      <w:pageBreakBefore/>
    </w:pPr>
  </w:style>
  <w:style w:type="paragraph" w:customStyle="1" w:styleId="Border">
    <w:name w:val="Border"/>
    <w:basedOn w:val="Normal"/>
    <w:qFormat/>
    <w:rsid w:val="003F51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51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51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51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51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51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51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51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51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5132"/>
    <w:rPr>
      <w:u w:val="single"/>
    </w:rPr>
  </w:style>
  <w:style w:type="character" w:customStyle="1" w:styleId="BoldandItalics">
    <w:name w:val="Bold and Italics"/>
    <w:qFormat/>
    <w:rsid w:val="003F5132"/>
    <w:rPr>
      <w:b/>
      <w:i/>
      <w:u w:val="none"/>
    </w:rPr>
  </w:style>
  <w:style w:type="paragraph" w:styleId="BalloonText">
    <w:name w:val="Balloon Text"/>
    <w:basedOn w:val="Normal"/>
    <w:link w:val="BalloonTextChar"/>
    <w:rsid w:val="003F51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51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51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51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51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51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5132"/>
    <w:pPr>
      <w:spacing w:before="0" w:after="0"/>
    </w:pPr>
  </w:style>
  <w:style w:type="paragraph" w:customStyle="1" w:styleId="BodyTextBold">
    <w:name w:val="Body Text Bold"/>
    <w:basedOn w:val="BodyText"/>
    <w:qFormat/>
    <w:rsid w:val="003F5132"/>
    <w:rPr>
      <w:b/>
    </w:rPr>
  </w:style>
  <w:style w:type="character" w:styleId="Hyperlink">
    <w:name w:val="Hyperlink"/>
    <w:basedOn w:val="DefaultParagraphFont"/>
    <w:uiPriority w:val="99"/>
    <w:unhideWhenUsed/>
    <w:rsid w:val="00DF66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1033</Words>
  <Characters>6622</Characters>
  <Application>Microsoft Office Word</Application>
  <DocSecurity>0</DocSecurity>
  <Lines>200</Lines>
  <Paragraphs>134</Paragraphs>
  <ScaleCrop>false</ScaleCrop>
  <Company>Author-it Software Corporation Ltd.</Company>
  <LinksUpToDate>false</LinksUpToDate>
  <CharactersWithSpaces>7521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CHCSOH024 Support sustainable tenancies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2025-03-01T08:59:00Z</dcterms:created>
  <dcterms:modified xsi:type="dcterms:W3CDTF">2025-03-01T08:59:00Z</dcterms:modified>
</cp:coreProperties>
</file>