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56E" w:rsidP="00FD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CHCSOH024 Support sustainable tenancies</w:t>
      </w:r>
      <w:r>
        <w:fldChar w:fldCharType="end"/>
      </w:r>
    </w:p>
    <w:p w:rsidR="00FD156E" w:rsidP="00FD156E">
      <w:pPr>
        <w:pStyle w:val="Version"/>
        <w:sectPr w:rsidSect="00856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1E6" w:rsidP="008561E6">
      <w:pPr>
        <w:pStyle w:val="SuperHeading"/>
      </w:pPr>
      <w:r w:rsidRPr="008561E6">
        <w:t>Assessment Requirements for CHCSOH024 Support sustainable tenancies</w:t>
      </w:r>
    </w:p>
    <w:p w:rsidR="00000000" w:rsidRPr="008561E6" w:rsidP="008561E6">
      <w:pPr>
        <w:pStyle w:val="Heading1"/>
      </w:pPr>
      <w:bookmarkStart w:id="1" w:name="O_1181385"/>
      <w:bookmarkEnd w:id="1"/>
      <w:r w:rsidRPr="008561E6">
        <w:t>Modification History</w:t>
      </w:r>
    </w:p>
    <w:p w:rsidR="00000000" w:rsidRPr="008561E6" w:rsidP="00FD156E">
      <w:pPr>
        <w:pStyle w:val="BodyText"/>
      </w:pPr>
      <w:r w:rsidRPr="008561E6">
        <w:t>Release 1. CHCSOH024 Support sustainable tenancies. New unit. No equivalent unit.</w:t>
      </w:r>
    </w:p>
    <w:p w:rsidR="00000000" w:rsidRPr="008561E6" w:rsidP="008561E6">
      <w:pPr>
        <w:pStyle w:val="Heading1"/>
      </w:pPr>
      <w:bookmarkStart w:id="2" w:name="O_1181386"/>
      <w:bookmarkEnd w:id="2"/>
      <w:r w:rsidRPr="008561E6">
        <w:t>Performance Evidence</w:t>
      </w:r>
    </w:p>
    <w:p w:rsidR="00000000" w:rsidRPr="008561E6" w:rsidP="00FD156E">
      <w:pPr>
        <w:pStyle w:val="BodyText"/>
      </w:pPr>
      <w:r w:rsidRPr="008561E6">
        <w:t>Evidence of the ability to complete tasks outlined in elements and performance criteria of this unit in the context of the job role, and:</w:t>
      </w:r>
    </w:p>
    <w:p w:rsidR="00000000" w:rsidRPr="008561E6" w:rsidP="008561E6">
      <w:pPr>
        <w:pStyle w:val="ListBullet"/>
      </w:pPr>
      <w:r w:rsidRPr="008561E6">
        <w:t>develop a tenancy sustainment plan for two clients including one client transitioning from homelessness to securing a</w:t>
      </w:r>
      <w:r w:rsidRPr="008561E6">
        <w:t xml:space="preserve"> tenancy </w:t>
      </w:r>
    </w:p>
    <w:p w:rsidR="00000000" w:rsidRPr="008561E6" w:rsidP="008561E6">
      <w:pPr>
        <w:pStyle w:val="ListBullet"/>
      </w:pPr>
      <w:r w:rsidRPr="008561E6">
        <w:t>support one tenant to address a tenancy breach notice</w:t>
      </w:r>
    </w:p>
    <w:p w:rsidR="00000000" w:rsidRPr="008561E6" w:rsidP="008561E6">
      <w:pPr>
        <w:pStyle w:val="ListBullet"/>
      </w:pPr>
      <w:r w:rsidRPr="008561E6">
        <w:t>engage with five community and health service providers to deliver holistic and coordinated support arrangements to one or more tenants that involves:</w:t>
      </w:r>
    </w:p>
    <w:p w:rsidR="00000000" w:rsidRPr="008561E6" w:rsidP="008561E6">
      <w:pPr>
        <w:pStyle w:val="ListBullet2"/>
      </w:pPr>
      <w:r w:rsidRPr="008561E6">
        <w:t xml:space="preserve">supporting connection to community  </w:t>
      </w:r>
    </w:p>
    <w:p w:rsidR="00000000" w:rsidRPr="008561E6" w:rsidP="008561E6">
      <w:pPr>
        <w:pStyle w:val="ListBullet2"/>
      </w:pPr>
      <w:r w:rsidRPr="008561E6">
        <w:t>sup</w:t>
      </w:r>
      <w:r w:rsidRPr="008561E6">
        <w:t>porting linkages to community</w:t>
      </w:r>
    </w:p>
    <w:p w:rsidR="00000000" w:rsidRPr="008561E6" w:rsidP="008561E6">
      <w:pPr>
        <w:pStyle w:val="ListBullet2"/>
      </w:pPr>
      <w:r w:rsidRPr="008561E6">
        <w:t>providing clients with a physical orientation where key services are located in the community:</w:t>
      </w:r>
    </w:p>
    <w:p w:rsidR="00000000" w:rsidRPr="008561E6" w:rsidP="008561E6">
      <w:pPr>
        <w:pStyle w:val="ListBullet3"/>
      </w:pPr>
      <w:r w:rsidRPr="008561E6">
        <w:t>library</w:t>
      </w:r>
    </w:p>
    <w:p w:rsidR="00000000" w:rsidRPr="008561E6" w:rsidP="008561E6">
      <w:pPr>
        <w:pStyle w:val="ListBullet3"/>
      </w:pPr>
      <w:r w:rsidRPr="008561E6">
        <w:t>medical services</w:t>
      </w:r>
    </w:p>
    <w:p w:rsidR="00000000" w:rsidRPr="008561E6" w:rsidP="008561E6">
      <w:pPr>
        <w:pStyle w:val="ListBullet2"/>
      </w:pPr>
      <w:r w:rsidRPr="008561E6">
        <w:t xml:space="preserve">providing clients with information that supports resettlement, stabilisation and orientation to </w:t>
      </w:r>
      <w:r w:rsidRPr="008561E6">
        <w:t>the local area</w:t>
      </w:r>
    </w:p>
    <w:p w:rsidR="00000000" w:rsidRPr="008561E6" w:rsidP="008561E6">
      <w:pPr>
        <w:pStyle w:val="ListBullet2"/>
      </w:pPr>
      <w:r w:rsidRPr="008561E6">
        <w:t>using public transport with the client to support orientation to local area.</w:t>
      </w:r>
    </w:p>
    <w:p w:rsidR="00000000" w:rsidRPr="008561E6" w:rsidP="008561E6">
      <w:pPr>
        <w:pStyle w:val="AllowPageBreak"/>
      </w:pPr>
    </w:p>
    <w:p w:rsidR="00000000" w:rsidRPr="008561E6" w:rsidP="008561E6">
      <w:pPr>
        <w:pStyle w:val="Heading1"/>
      </w:pPr>
      <w:bookmarkStart w:id="3" w:name="O_1181387"/>
      <w:bookmarkEnd w:id="3"/>
      <w:r w:rsidRPr="008561E6">
        <w:t>Knowledge Evidence</w:t>
      </w:r>
    </w:p>
    <w:p w:rsidR="00000000" w:rsidRPr="008561E6" w:rsidP="00FD156E">
      <w:pPr>
        <w:pStyle w:val="BodyText"/>
      </w:pPr>
      <w:r w:rsidRPr="008561E6">
        <w:t>Demonstrated knowledge required to complete the tasks outlined in elements and performance criteria of this unit:</w:t>
      </w:r>
    </w:p>
    <w:p w:rsidR="00000000" w:rsidRPr="008561E6" w:rsidP="008561E6">
      <w:pPr>
        <w:pStyle w:val="ListBullet"/>
      </w:pPr>
      <w:r w:rsidRPr="008561E6">
        <w:t xml:space="preserve">principles </w:t>
      </w:r>
      <w:r w:rsidRPr="008561E6">
        <w:t xml:space="preserve">of sustaining tenancies </w:t>
      </w:r>
    </w:p>
    <w:p w:rsidR="00000000" w:rsidRPr="008561E6" w:rsidP="008561E6">
      <w:pPr>
        <w:pStyle w:val="ListBullet"/>
      </w:pPr>
      <w:r w:rsidRPr="008561E6">
        <w:t>techniques for the identification of support required</w:t>
      </w:r>
    </w:p>
    <w:p w:rsidR="00000000" w:rsidRPr="008561E6" w:rsidP="008561E6">
      <w:pPr>
        <w:pStyle w:val="ListBullet"/>
      </w:pPr>
      <w:r w:rsidRPr="008561E6">
        <w:t>referral processes</w:t>
      </w:r>
    </w:p>
    <w:p w:rsidR="00000000" w:rsidRPr="008561E6" w:rsidP="008561E6">
      <w:pPr>
        <w:pStyle w:val="ListBullet"/>
      </w:pPr>
      <w:r w:rsidRPr="008561E6">
        <w:t>types of employment support</w:t>
      </w:r>
    </w:p>
    <w:p w:rsidR="00000000" w:rsidRPr="008561E6" w:rsidP="008561E6">
      <w:pPr>
        <w:pStyle w:val="ListBullet"/>
      </w:pPr>
      <w:r w:rsidRPr="008561E6">
        <w:t>key elements of the sustainable tenancy toolkit</w:t>
      </w:r>
    </w:p>
    <w:p w:rsidR="00000000" w:rsidRPr="008561E6" w:rsidP="008561E6">
      <w:pPr>
        <w:pStyle w:val="ListBullet"/>
      </w:pPr>
      <w:r w:rsidRPr="008561E6">
        <w:t>Council of Homeless Persons good practice guide:</w:t>
      </w:r>
    </w:p>
    <w:p w:rsidR="00000000" w:rsidRPr="008561E6" w:rsidP="008561E6">
      <w:pPr>
        <w:pStyle w:val="ListBullet2"/>
      </w:pPr>
      <w:r w:rsidRPr="008561E6">
        <w:t>supporting resettlement and stabilisation</w:t>
      </w:r>
    </w:p>
    <w:p w:rsidR="00000000" w:rsidRPr="008561E6" w:rsidP="008561E6">
      <w:pPr>
        <w:pStyle w:val="ListBullet"/>
      </w:pPr>
      <w:r w:rsidRPr="008561E6">
        <w:t xml:space="preserve">rental system </w:t>
      </w:r>
    </w:p>
    <w:p w:rsidR="00000000" w:rsidRPr="008561E6" w:rsidP="008561E6">
      <w:pPr>
        <w:pStyle w:val="ListBullet"/>
      </w:pPr>
      <w:r w:rsidRPr="008561E6">
        <w:t>residential tenancy legislation including appeal process and tenant right of appeal</w:t>
      </w:r>
    </w:p>
    <w:p w:rsidR="00000000" w:rsidRPr="008561E6" w:rsidP="008561E6">
      <w:pPr>
        <w:pStyle w:val="ListBullet"/>
      </w:pPr>
      <w:r w:rsidRPr="008561E6">
        <w:t>primary, secondary and tertiary definitions of homelessness:</w:t>
      </w:r>
    </w:p>
    <w:p w:rsidR="00000000" w:rsidRPr="008561E6" w:rsidP="008561E6">
      <w:pPr>
        <w:pStyle w:val="ListBullet2"/>
      </w:pPr>
      <w:r w:rsidRPr="008561E6">
        <w:t>range of issues impacting on people who are experien</w:t>
      </w:r>
      <w:r w:rsidRPr="008561E6">
        <w:t xml:space="preserve">cing homelessness or at risk of becoming homeless </w:t>
      </w:r>
    </w:p>
    <w:p w:rsidR="00000000" w:rsidRPr="008561E6" w:rsidP="008561E6">
      <w:pPr>
        <w:pStyle w:val="ListBullet2"/>
      </w:pPr>
      <w:r w:rsidRPr="008561E6">
        <w:t>socioeconomic impact of homelessness</w:t>
      </w:r>
    </w:p>
    <w:p w:rsidR="00000000" w:rsidRPr="008561E6" w:rsidP="008561E6">
      <w:pPr>
        <w:pStyle w:val="ListBullet2"/>
      </w:pPr>
      <w:r w:rsidRPr="008561E6">
        <w:t>risk and contributing factors of homelessness</w:t>
      </w:r>
    </w:p>
    <w:p w:rsidR="00000000" w:rsidRPr="008561E6" w:rsidP="008561E6">
      <w:pPr>
        <w:pStyle w:val="ListBullet"/>
      </w:pPr>
      <w:r w:rsidRPr="008561E6">
        <w:t>types of community and health service providers and their role</w:t>
      </w:r>
    </w:p>
    <w:p w:rsidR="00000000" w:rsidRPr="008561E6" w:rsidP="008561E6">
      <w:pPr>
        <w:pStyle w:val="ListBullet"/>
      </w:pPr>
      <w:r w:rsidRPr="008561E6">
        <w:t>types of tenancy arrangements:</w:t>
      </w:r>
    </w:p>
    <w:p w:rsidR="00000000" w:rsidRPr="008561E6" w:rsidP="008561E6">
      <w:pPr>
        <w:pStyle w:val="ListBullet2"/>
      </w:pPr>
      <w:r w:rsidRPr="008561E6">
        <w:t>share housing</w:t>
      </w:r>
    </w:p>
    <w:p w:rsidR="00000000" w:rsidRPr="008561E6" w:rsidP="008561E6">
      <w:pPr>
        <w:pStyle w:val="ListBullet2"/>
      </w:pPr>
      <w:r w:rsidRPr="008561E6">
        <w:t>rooming and boarding houses</w:t>
      </w:r>
    </w:p>
    <w:p w:rsidR="00000000" w:rsidRPr="008561E6" w:rsidP="008561E6">
      <w:pPr>
        <w:pStyle w:val="ListBullet"/>
      </w:pPr>
      <w:r w:rsidRPr="008561E6">
        <w:t>warning signs of tenant falling into arrears</w:t>
      </w:r>
    </w:p>
    <w:p w:rsidR="00000000" w:rsidRPr="008561E6" w:rsidP="008561E6">
      <w:pPr>
        <w:pStyle w:val="ListBullet"/>
      </w:pPr>
      <w:r w:rsidRPr="008561E6">
        <w:t>organisational policies and procedures applicable to supporting sustainable tenancies</w:t>
      </w:r>
    </w:p>
    <w:p w:rsidR="00000000" w:rsidRPr="008561E6" w:rsidP="008561E6">
      <w:pPr>
        <w:pStyle w:val="ListBullet"/>
      </w:pPr>
      <w:r w:rsidRPr="008561E6">
        <w:t>organisational and legislative reporting requirements applicable to supporting sustainable tenan</w:t>
      </w:r>
      <w:r w:rsidRPr="008561E6">
        <w:t>cies</w:t>
      </w:r>
    </w:p>
    <w:p w:rsidR="00000000" w:rsidRPr="008561E6" w:rsidP="008561E6">
      <w:pPr>
        <w:pStyle w:val="ListBullet"/>
      </w:pPr>
      <w:r w:rsidRPr="008561E6">
        <w:t>right to housing as evidenced in the Universal Declaration of Human Rights (UDHR) 1948 and the International Covenant on Economic, Social and Cultural Rights (ICESCR) 1966.</w:t>
      </w:r>
    </w:p>
    <w:p w:rsidR="00000000" w:rsidRPr="008561E6" w:rsidP="008561E6">
      <w:pPr>
        <w:pStyle w:val="AllowPageBreak"/>
      </w:pPr>
    </w:p>
    <w:p w:rsidR="00000000" w:rsidRPr="008561E6" w:rsidP="008561E6">
      <w:pPr>
        <w:pStyle w:val="Heading1"/>
      </w:pPr>
      <w:bookmarkStart w:id="4" w:name="O_1181388"/>
      <w:bookmarkEnd w:id="4"/>
      <w:r w:rsidRPr="008561E6">
        <w:t>Assessment Conditions</w:t>
      </w:r>
    </w:p>
    <w:p w:rsidR="00000000" w:rsidRPr="008561E6" w:rsidP="00FD156E">
      <w:pPr>
        <w:pStyle w:val="BodyText"/>
      </w:pPr>
      <w:r w:rsidRPr="008561E6">
        <w:t>Skills must be demonstrated in the wo</w:t>
      </w:r>
      <w:r w:rsidRPr="008561E6">
        <w:t>rkplace or in a simulated environment that reflects workplace conditions.</w:t>
      </w:r>
    </w:p>
    <w:p w:rsidR="00000000" w:rsidRPr="008561E6" w:rsidP="00FD156E">
      <w:pPr>
        <w:pStyle w:val="BodyText"/>
      </w:pPr>
      <w:r w:rsidRPr="008561E6">
        <w:t>Assessment must ensure:</w:t>
      </w:r>
    </w:p>
    <w:p w:rsidR="00000000" w:rsidRPr="008561E6" w:rsidP="008561E6">
      <w:pPr>
        <w:pStyle w:val="ListBullet"/>
      </w:pPr>
      <w:r w:rsidRPr="008561E6">
        <w:t>access to suitable facilities, equipment and resources</w:t>
      </w:r>
    </w:p>
    <w:p w:rsidR="00000000" w:rsidRPr="008561E6" w:rsidP="008561E6">
      <w:pPr>
        <w:pStyle w:val="ListBullet"/>
      </w:pPr>
      <w:r w:rsidRPr="008561E6">
        <w:t>access to organisational policies and procedures</w:t>
      </w:r>
    </w:p>
    <w:p w:rsidR="00000000" w:rsidRPr="008561E6" w:rsidP="008561E6">
      <w:pPr>
        <w:pStyle w:val="ListBullet"/>
      </w:pPr>
      <w:r w:rsidRPr="008561E6">
        <w:t>opportunities for engagement with clients and multipl</w:t>
      </w:r>
      <w:r w:rsidRPr="008561E6">
        <w:t>e agencies.</w:t>
      </w:r>
    </w:p>
    <w:p w:rsidR="00000000" w:rsidRPr="008561E6" w:rsidP="00FD156E">
      <w:pPr>
        <w:pStyle w:val="BodyText"/>
      </w:pPr>
      <w:r w:rsidRPr="008561E6">
        <w:t>Assessors must satisfy the Standards for Registered Training Organisations’ requirements for assessors.</w:t>
      </w:r>
    </w:p>
    <w:p w:rsidR="00000000" w:rsidRPr="008561E6" w:rsidP="008561E6">
      <w:pPr>
        <w:pStyle w:val="Heading1"/>
      </w:pPr>
      <w:bookmarkStart w:id="5" w:name="O_1181391"/>
      <w:bookmarkEnd w:id="5"/>
      <w:r w:rsidRPr="008561E6">
        <w:t>Links</w:t>
      </w:r>
    </w:p>
    <w:p w:rsidR="00000000" w:rsidRPr="008561E6" w:rsidP="00FD156E">
      <w:pPr>
        <w:pStyle w:val="BodyText"/>
      </w:pPr>
      <w:r w:rsidRPr="008561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105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561E6" w:rsidP="008561E6"/>
    <w:sectPr w:rsidSect="008561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E6" w:rsidRPr="00FD156E" w:rsidP="00FD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6E" w:rsidP="00856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56E" w:rsidP="00856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156E" w:rsidP="00856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1E6" w:rsidRPr="00FD156E" w:rsidP="00FD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6E" w:rsidRPr="002D2AF8" w:rsidP="00856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CHCSOH024 Support sustainable tenancies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D156E" w:rsidP="00856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E4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E6B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40F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1E6"/>
  </w:style>
  <w:style w:type="character" w:customStyle="1" w:styleId="Heading1Char">
    <w:name w:val="Heading 1 Char"/>
    <w:basedOn w:val="DefaultParagraphFont"/>
    <w:link w:val="Heading1"/>
    <w:rsid w:val="00856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1E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1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61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6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1E6"/>
    <w:rPr>
      <w:b/>
      <w:spacing w:val="0"/>
    </w:rPr>
  </w:style>
  <w:style w:type="paragraph" w:customStyle="1" w:styleId="SuperTitle">
    <w:name w:val="SuperTitle"/>
    <w:basedOn w:val="Title"/>
    <w:rsid w:val="00856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1E6"/>
    <w:rPr>
      <w:i/>
    </w:rPr>
  </w:style>
  <w:style w:type="paragraph" w:styleId="Caption">
    <w:name w:val="caption"/>
    <w:basedOn w:val="BodyText"/>
    <w:next w:val="Normal"/>
    <w:qFormat/>
    <w:rsid w:val="00856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1E6"/>
  </w:style>
  <w:style w:type="paragraph" w:styleId="TableofFigures">
    <w:name w:val="table of figures"/>
    <w:basedOn w:val="Normal"/>
    <w:next w:val="Normal"/>
    <w:semiHidden/>
    <w:rsid w:val="00856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1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61E6"/>
    <w:rPr>
      <w:rFonts w:ascii="Wingdings" w:hAnsi="Wingdings"/>
    </w:rPr>
  </w:style>
  <w:style w:type="paragraph" w:customStyle="1" w:styleId="TableHeading">
    <w:name w:val="Table Heading"/>
    <w:basedOn w:val="HeadingBase"/>
    <w:rsid w:val="00856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1E6"/>
    <w:rPr>
      <w:color w:val="0033CC"/>
      <w:u w:val="none"/>
    </w:rPr>
  </w:style>
  <w:style w:type="paragraph" w:customStyle="1" w:styleId="BodyTextRight">
    <w:name w:val="Body Text Right"/>
    <w:basedOn w:val="BodyText"/>
    <w:rsid w:val="00856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1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1E6"/>
    <w:rPr>
      <w:sz w:val="32"/>
    </w:rPr>
  </w:style>
  <w:style w:type="paragraph" w:customStyle="1" w:styleId="HeadingProcedure">
    <w:name w:val="Heading Procedure"/>
    <w:basedOn w:val="HeadingBase"/>
    <w:next w:val="Normal"/>
    <w:rsid w:val="00856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1E6"/>
    <w:pPr>
      <w:spacing w:before="60" w:after="60"/>
    </w:pPr>
  </w:style>
  <w:style w:type="paragraph" w:styleId="ListContinue">
    <w:name w:val="List Continue"/>
    <w:basedOn w:val="List"/>
    <w:rsid w:val="008561E6"/>
    <w:pPr>
      <w:ind w:firstLine="0"/>
    </w:pPr>
  </w:style>
  <w:style w:type="paragraph" w:customStyle="1" w:styleId="ListNote">
    <w:name w:val="List Note"/>
    <w:basedOn w:val="List"/>
    <w:rsid w:val="00856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1E6"/>
    <w:rPr>
      <w:rFonts w:ascii="Courier New" w:hAnsi="Courier New"/>
    </w:rPr>
  </w:style>
  <w:style w:type="paragraph" w:customStyle="1" w:styleId="NoteBullet">
    <w:name w:val="Note Bullet"/>
    <w:basedOn w:val="Note"/>
    <w:rsid w:val="00856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1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6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1E6"/>
    <w:rPr>
      <w:b/>
      <w:smallCaps/>
    </w:rPr>
  </w:style>
  <w:style w:type="paragraph" w:customStyle="1" w:styleId="TableListNumber">
    <w:name w:val="Table List Number"/>
    <w:basedOn w:val="ListNumber"/>
    <w:rsid w:val="00856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1E6"/>
    <w:pPr>
      <w:numPr>
        <w:numId w:val="10"/>
      </w:numPr>
    </w:pPr>
  </w:style>
  <w:style w:type="paragraph" w:customStyle="1" w:styleId="ListAlpha2">
    <w:name w:val="List Alpha 2"/>
    <w:basedOn w:val="List2"/>
    <w:rsid w:val="008561E6"/>
    <w:pPr>
      <w:numPr>
        <w:numId w:val="9"/>
      </w:numPr>
    </w:pPr>
  </w:style>
  <w:style w:type="paragraph" w:styleId="List2">
    <w:name w:val="List 2"/>
    <w:basedOn w:val="BodyText"/>
    <w:rsid w:val="00856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1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61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61E6"/>
    <w:pPr>
      <w:numPr>
        <w:numId w:val="5"/>
      </w:numPr>
    </w:pPr>
  </w:style>
  <w:style w:type="paragraph" w:styleId="ListContinue2">
    <w:name w:val="List Continue 2"/>
    <w:basedOn w:val="List2"/>
    <w:rsid w:val="008561E6"/>
    <w:pPr>
      <w:ind w:firstLine="0"/>
    </w:pPr>
  </w:style>
  <w:style w:type="paragraph" w:styleId="ListContinue3">
    <w:name w:val="List Continue 3"/>
    <w:basedOn w:val="List3"/>
    <w:rsid w:val="008561E6"/>
    <w:pPr>
      <w:ind w:left="1021" w:firstLine="0"/>
    </w:pPr>
  </w:style>
  <w:style w:type="paragraph" w:styleId="ListContinue4">
    <w:name w:val="List Continue 4"/>
    <w:basedOn w:val="List4"/>
    <w:rsid w:val="008561E6"/>
    <w:pPr>
      <w:ind w:firstLine="0"/>
    </w:pPr>
  </w:style>
  <w:style w:type="paragraph" w:styleId="ListContinue5">
    <w:name w:val="List Continue 5"/>
    <w:basedOn w:val="List5"/>
    <w:rsid w:val="008561E6"/>
    <w:pPr>
      <w:ind w:firstLine="0"/>
    </w:pPr>
  </w:style>
  <w:style w:type="paragraph" w:styleId="ListNumber3">
    <w:name w:val="List Number 3"/>
    <w:basedOn w:val="List3"/>
    <w:rsid w:val="008561E6"/>
    <w:pPr>
      <w:numPr>
        <w:numId w:val="6"/>
      </w:numPr>
    </w:pPr>
  </w:style>
  <w:style w:type="paragraph" w:styleId="ListNumber4">
    <w:name w:val="List Number 4"/>
    <w:basedOn w:val="List4"/>
    <w:rsid w:val="008561E6"/>
    <w:pPr>
      <w:numPr>
        <w:numId w:val="7"/>
      </w:numPr>
    </w:pPr>
  </w:style>
  <w:style w:type="paragraph" w:styleId="ListNumber5">
    <w:name w:val="List Number 5"/>
    <w:basedOn w:val="List5"/>
    <w:rsid w:val="008561E6"/>
    <w:pPr>
      <w:numPr>
        <w:numId w:val="8"/>
      </w:numPr>
    </w:pPr>
  </w:style>
  <w:style w:type="paragraph" w:styleId="BlockText">
    <w:name w:val="Block Text"/>
    <w:basedOn w:val="Normal"/>
    <w:rsid w:val="00856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1E6"/>
    <w:rPr>
      <w:sz w:val="16"/>
      <w:vertAlign w:val="superscript"/>
    </w:rPr>
  </w:style>
  <w:style w:type="character" w:customStyle="1" w:styleId="Symbols">
    <w:name w:val="Symbols"/>
    <w:basedOn w:val="DefaultParagraphFont"/>
    <w:rsid w:val="008561E6"/>
    <w:rPr>
      <w:rFonts w:ascii="Symbol" w:hAnsi="Symbol"/>
    </w:rPr>
  </w:style>
  <w:style w:type="character" w:customStyle="1" w:styleId="MenuOptions">
    <w:name w:val="Menu Options"/>
    <w:basedOn w:val="DefaultParagraphFont"/>
    <w:rsid w:val="00856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1E6"/>
    <w:rPr>
      <w:b/>
    </w:rPr>
  </w:style>
  <w:style w:type="character" w:customStyle="1" w:styleId="Underlined">
    <w:name w:val="Underlined"/>
    <w:basedOn w:val="DefaultParagraphFont"/>
    <w:rsid w:val="008561E6"/>
    <w:rPr>
      <w:u w:val="single"/>
    </w:rPr>
  </w:style>
  <w:style w:type="paragraph" w:customStyle="1" w:styleId="TableBodyTextRight">
    <w:name w:val="Table Body Text Right"/>
    <w:basedOn w:val="TableBodyText"/>
    <w:rsid w:val="00856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1E6"/>
    <w:rPr>
      <w:sz w:val="18"/>
    </w:rPr>
  </w:style>
  <w:style w:type="paragraph" w:customStyle="1" w:styleId="BodySmallRight">
    <w:name w:val="Body Small Right"/>
    <w:basedOn w:val="BodyTextRight"/>
    <w:rsid w:val="008561E6"/>
    <w:rPr>
      <w:sz w:val="18"/>
      <w:szCs w:val="18"/>
    </w:rPr>
  </w:style>
  <w:style w:type="paragraph" w:customStyle="1" w:styleId="MarginEdition">
    <w:name w:val="Margin Edition"/>
    <w:basedOn w:val="MarginNote"/>
    <w:rsid w:val="00856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1E6"/>
    <w:rPr>
      <w:sz w:val="2"/>
      <w:szCs w:val="2"/>
    </w:rPr>
  </w:style>
  <w:style w:type="character" w:customStyle="1" w:styleId="Small">
    <w:name w:val="Small"/>
    <w:basedOn w:val="DefaultParagraphFont"/>
    <w:rsid w:val="008561E6"/>
    <w:rPr>
      <w:sz w:val="16"/>
    </w:rPr>
  </w:style>
  <w:style w:type="paragraph" w:customStyle="1" w:styleId="WideTable">
    <w:name w:val="Wide Table"/>
    <w:basedOn w:val="Normal"/>
    <w:rsid w:val="00856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1E6"/>
  </w:style>
  <w:style w:type="paragraph" w:styleId="Quote">
    <w:name w:val="Quote"/>
    <w:basedOn w:val="Heading1"/>
    <w:link w:val="QuoteChar"/>
    <w:qFormat/>
    <w:rsid w:val="00856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1E6"/>
    <w:pPr>
      <w:pageBreakBefore/>
    </w:pPr>
  </w:style>
  <w:style w:type="paragraph" w:customStyle="1" w:styleId="Border">
    <w:name w:val="Border"/>
    <w:basedOn w:val="Normal"/>
    <w:qFormat/>
    <w:rsid w:val="00856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1E6"/>
    <w:rPr>
      <w:u w:val="single"/>
    </w:rPr>
  </w:style>
  <w:style w:type="character" w:customStyle="1" w:styleId="BoldandItalics">
    <w:name w:val="Bold and Italics"/>
    <w:qFormat/>
    <w:rsid w:val="008561E6"/>
    <w:rPr>
      <w:b/>
      <w:i/>
      <w:u w:val="none"/>
    </w:rPr>
  </w:style>
  <w:style w:type="paragraph" w:styleId="BalloonText">
    <w:name w:val="Balloon Text"/>
    <w:basedOn w:val="Normal"/>
    <w:link w:val="BalloonTextChar"/>
    <w:rsid w:val="00856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1E6"/>
    <w:pPr>
      <w:spacing w:before="0" w:after="0"/>
    </w:pPr>
  </w:style>
  <w:style w:type="paragraph" w:customStyle="1" w:styleId="BodyTextBold">
    <w:name w:val="Body Text Bold"/>
    <w:basedOn w:val="BodyText"/>
    <w:qFormat/>
    <w:rsid w:val="008561E6"/>
    <w:rPr>
      <w:b/>
    </w:rPr>
  </w:style>
  <w:style w:type="character" w:styleId="Hyperlink">
    <w:name w:val="Hyperlink"/>
    <w:basedOn w:val="DefaultParagraphFont"/>
    <w:uiPriority w:val="99"/>
    <w:unhideWhenUsed/>
    <w:rsid w:val="00FD1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2760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CHCSOH024 Support sustainable tenancies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