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2C9E" w:rsidP="00442C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CHCSOH023 Acquire properties by purchase or transfer</w:t>
      </w:r>
      <w:r>
        <w:fldChar w:fldCharType="end"/>
      </w:r>
    </w:p>
    <w:p w:rsidR="00442C9E" w:rsidP="00442C9E">
      <w:pPr>
        <w:pStyle w:val="Version"/>
        <w:sectPr w:rsidSect="00282C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2CAE" w:rsidP="00282CAE">
      <w:pPr>
        <w:pStyle w:val="SuperHeading"/>
      </w:pPr>
      <w:r w:rsidRPr="00282CAE">
        <w:t>CHCSOH023 Acquire properties by purchase or transfer</w:t>
      </w:r>
    </w:p>
    <w:p w:rsidR="00000000" w:rsidRPr="00282CAE" w:rsidP="00282CAE">
      <w:pPr>
        <w:pStyle w:val="Heading1"/>
      </w:pPr>
      <w:bookmarkStart w:id="1" w:name="O_1181356"/>
      <w:bookmarkEnd w:id="1"/>
      <w:r w:rsidRPr="00282CAE">
        <w:t>Modification History</w:t>
      </w:r>
    </w:p>
    <w:p w:rsidR="00000000" w:rsidRPr="00282CAE" w:rsidP="00442C9E">
      <w:pPr>
        <w:pStyle w:val="BodyText"/>
      </w:pPr>
      <w:r w:rsidRPr="00282CAE">
        <w:t xml:space="preserve">Release 1. CHCSOH023 Acquire properties by purchase or transfer supersedes and is equivalent to CHCSOH012 Acquire properties by purchase or transfer. </w:t>
      </w:r>
    </w:p>
    <w:p w:rsidR="00000000" w:rsidRPr="00282CAE" w:rsidP="00282CAE">
      <w:pPr>
        <w:pStyle w:val="Heading1"/>
      </w:pPr>
      <w:bookmarkStart w:id="2" w:name="O_1181357"/>
      <w:bookmarkEnd w:id="2"/>
      <w:r w:rsidRPr="00282CAE">
        <w:t>Application</w:t>
      </w:r>
    </w:p>
    <w:p w:rsidR="00000000" w:rsidRPr="00282CAE" w:rsidP="00442C9E">
      <w:pPr>
        <w:pStyle w:val="BodyText"/>
      </w:pPr>
      <w:r w:rsidRPr="00282CAE">
        <w:t>This unit describes the performance</w:t>
      </w:r>
      <w:r w:rsidRPr="00282CAE">
        <w:t xml:space="preserve"> outcomes, skills and knowledge required to negotiate the purchase and transfer of property to social housing. </w:t>
      </w:r>
    </w:p>
    <w:p w:rsidR="00000000" w:rsidRPr="00282CAE" w:rsidP="00442C9E">
      <w:pPr>
        <w:pStyle w:val="BodyText"/>
      </w:pPr>
      <w:r w:rsidRPr="00282CAE">
        <w:t>This unit applies to individuals who work in a social housing context. They are typically senior workers working autonomously within broad guide</w:t>
      </w:r>
      <w:r w:rsidRPr="00282CAE">
        <w:t>lines.</w:t>
      </w:r>
    </w:p>
    <w:p w:rsidR="00000000" w:rsidRPr="00282CAE" w:rsidP="00442C9E">
      <w:pPr>
        <w:pStyle w:val="BodyText"/>
      </w:pPr>
      <w:r w:rsidRPr="00282CAE">
        <w:t>The skills in this unit must be applied in accordance with Commonwealth and State/Territory legislation, Australian standards and industry codes of practice.</w:t>
      </w:r>
    </w:p>
    <w:p w:rsidR="00000000" w:rsidRPr="00282CAE" w:rsidP="00442C9E">
      <w:pPr>
        <w:pStyle w:val="BodyText"/>
      </w:pPr>
      <w:r w:rsidRPr="00282CAE">
        <w:t>No occupational licensing, certification or specific legislative requirements apply to this</w:t>
      </w:r>
      <w:r w:rsidRPr="00282CAE">
        <w:t xml:space="preserve"> unit at the time of publication.</w:t>
      </w:r>
    </w:p>
    <w:p w:rsidR="00000000" w:rsidRPr="00282CAE" w:rsidP="00282CAE">
      <w:pPr>
        <w:pStyle w:val="Heading1"/>
      </w:pPr>
      <w:bookmarkStart w:id="3" w:name="O_1181358"/>
      <w:bookmarkEnd w:id="3"/>
      <w:r w:rsidRPr="00282CAE">
        <w:t>Pre-requisite Unit</w:t>
      </w:r>
    </w:p>
    <w:p w:rsidR="00000000" w:rsidRPr="00282CAE" w:rsidP="00442C9E">
      <w:pPr>
        <w:pStyle w:val="BodyText"/>
      </w:pPr>
      <w:r w:rsidRPr="00282CAE">
        <w:t xml:space="preserve">Nil </w:t>
      </w:r>
    </w:p>
    <w:p w:rsidR="00000000" w:rsidRPr="00282CAE" w:rsidP="00282CAE">
      <w:pPr>
        <w:pStyle w:val="Heading1"/>
      </w:pPr>
      <w:bookmarkStart w:id="4" w:name="O_1181359"/>
      <w:bookmarkEnd w:id="4"/>
      <w:r w:rsidRPr="00282CAE">
        <w:t>Competency Field</w:t>
      </w:r>
    </w:p>
    <w:p w:rsidR="00000000" w:rsidRPr="00282CAE" w:rsidP="00442C9E">
      <w:pPr>
        <w:pStyle w:val="BodyText"/>
      </w:pPr>
      <w:r w:rsidRPr="00282CAE">
        <w:t xml:space="preserve">Social Housing </w:t>
      </w:r>
    </w:p>
    <w:p w:rsidR="00000000" w:rsidRPr="00282CAE" w:rsidP="00282CAE">
      <w:pPr>
        <w:pStyle w:val="Heading1"/>
      </w:pPr>
      <w:bookmarkStart w:id="5" w:name="O_1181360"/>
      <w:bookmarkEnd w:id="5"/>
      <w:r w:rsidRPr="00282CAE">
        <w:t>Unit Sector</w:t>
      </w:r>
    </w:p>
    <w:p w:rsidR="00000000" w:rsidRPr="00282CAE" w:rsidP="00442C9E">
      <w:pPr>
        <w:pStyle w:val="BodyText"/>
      </w:pPr>
      <w:r w:rsidRPr="00282CAE">
        <w:t>Community Services</w:t>
      </w:r>
    </w:p>
    <w:p w:rsidR="00000000" w:rsidRPr="00282CAE" w:rsidP="00282CAE">
      <w:pPr>
        <w:pStyle w:val="Heading1"/>
      </w:pPr>
      <w:bookmarkStart w:id="6" w:name="O_1181361"/>
      <w:bookmarkEnd w:id="6"/>
      <w:r w:rsidRPr="00282C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47"/>
        <w:gridCol w:w="6297"/>
      </w:tblGrid>
      <w:tr w:rsidTr="0028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CAE" w:rsidP="00282CAE">
            <w:pPr>
              <w:pStyle w:val="BodyText"/>
            </w:pPr>
            <w:r w:rsidRPr="00282CAE">
              <w:rPr>
                <w:rStyle w:val="SpecialBold"/>
              </w:rPr>
              <w:t>ELEMENTS</w:t>
            </w:r>
          </w:p>
        </w:tc>
        <w:tc>
          <w:tcPr>
            <w:tcW w:w="6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AE">
            <w:pPr>
              <w:pStyle w:val="BodyText"/>
              <w:rPr>
                <w:lang w:val="en-NZ"/>
              </w:rPr>
            </w:pPr>
            <w:r w:rsidRPr="00282CAE">
              <w:rPr>
                <w:rStyle w:val="SpecialBold"/>
              </w:rPr>
              <w:t>PERFORMANCE</w:t>
            </w:r>
            <w:r w:rsidRPr="00282CAE">
              <w:t xml:space="preserve"> </w:t>
            </w:r>
            <w:r w:rsidRPr="00282CAE">
              <w:rPr>
                <w:rStyle w:val="SpecialBold"/>
              </w:rPr>
              <w:t>CRI</w:t>
            </w:r>
            <w:r w:rsidRPr="00282CAE">
              <w:rPr>
                <w:rStyle w:val="SpecialBold"/>
              </w:rPr>
              <w:t>TERIA</w:t>
            </w:r>
          </w:p>
        </w:tc>
      </w:tr>
      <w:tr w:rsidTr="0028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CAE" w:rsidP="00282CAE">
            <w:pPr>
              <w:pStyle w:val="BodyText"/>
            </w:pPr>
            <w:r w:rsidRPr="00282CAE">
              <w:rPr>
                <w:rStyle w:val="Emphasis"/>
              </w:rPr>
              <w:t>Elements describe the essential outcomes</w:t>
            </w:r>
          </w:p>
        </w:tc>
        <w:tc>
          <w:tcPr>
            <w:tcW w:w="6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AE">
            <w:pPr>
              <w:pStyle w:val="BodyText"/>
              <w:rPr>
                <w:lang w:val="en-NZ"/>
              </w:rPr>
            </w:pPr>
            <w:r w:rsidRPr="00282C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AE">
            <w:pPr>
              <w:pStyle w:val="List"/>
              <w:rPr>
                <w:lang w:val="en-NZ"/>
              </w:rPr>
            </w:pPr>
            <w:r w:rsidRPr="00282CAE">
              <w:t>1.  Formulate terms and conditions of contracts or transfer agreements.</w:t>
            </w:r>
          </w:p>
        </w:tc>
        <w:tc>
          <w:tcPr>
            <w:tcW w:w="6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CAE" w:rsidP="00282CAE">
            <w:pPr>
              <w:pStyle w:val="List"/>
            </w:pPr>
            <w:r w:rsidRPr="00282CAE">
              <w:t>1.1. Formulate draft contract or transfer agreement terms and conditions to protect client interests and meet organisational and legislative requirements.</w:t>
            </w:r>
          </w:p>
          <w:p w:rsidR="00000000" w:rsidRPr="00282CAE" w:rsidP="00282CAE">
            <w:pPr>
              <w:pStyle w:val="List"/>
            </w:pPr>
            <w:r w:rsidRPr="00282CAE">
              <w:t>1.2. Issue instructions to legal consultants to prepare draft contract or transfer agreement.</w:t>
            </w:r>
          </w:p>
          <w:p w:rsidR="00000000" w:rsidP="00282CAE">
            <w:pPr>
              <w:pStyle w:val="List"/>
              <w:rPr>
                <w:lang w:val="en-NZ"/>
              </w:rPr>
            </w:pPr>
            <w:r w:rsidRPr="00282CAE">
              <w:t>1.3. Co</w:t>
            </w:r>
            <w:r w:rsidRPr="00282CAE">
              <w:t>nvey draft terms and conditions to the relevant parties and agents prior to negotiations.</w:t>
            </w:r>
          </w:p>
        </w:tc>
      </w:tr>
      <w:tr w:rsidTr="0028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AE">
            <w:pPr>
              <w:pStyle w:val="List"/>
              <w:rPr>
                <w:lang w:val="en-NZ"/>
              </w:rPr>
            </w:pPr>
            <w:r w:rsidRPr="00282CAE">
              <w:t>2.  Negotiate terms and conditions.</w:t>
            </w:r>
          </w:p>
        </w:tc>
        <w:tc>
          <w:tcPr>
            <w:tcW w:w="6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CAE" w:rsidP="00282CAE">
            <w:pPr>
              <w:pStyle w:val="List"/>
            </w:pPr>
            <w:r w:rsidRPr="00282CAE">
              <w:t>2.1. Negotiate contract or transfer agreement form and contents with interested parties.</w:t>
            </w:r>
          </w:p>
          <w:p w:rsidR="00000000" w:rsidRPr="00282CAE" w:rsidP="00282CAE">
            <w:pPr>
              <w:pStyle w:val="List"/>
            </w:pPr>
            <w:r w:rsidRPr="00282CAE">
              <w:t>2.2. Ensure contract or agreement is signed by all parties once consensus has been reached on the form and content.</w:t>
            </w:r>
          </w:p>
          <w:p w:rsidR="00000000" w:rsidP="00282CAE">
            <w:pPr>
              <w:pStyle w:val="List"/>
              <w:rPr>
                <w:lang w:val="en-NZ"/>
              </w:rPr>
            </w:pPr>
            <w:r w:rsidRPr="00282CAE">
              <w:t>2.3. Forward signed contract or agreement to legal or conveyancing services.</w:t>
            </w:r>
          </w:p>
        </w:tc>
      </w:tr>
      <w:tr w:rsidTr="0028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AE">
            <w:pPr>
              <w:pStyle w:val="List"/>
              <w:rPr>
                <w:lang w:val="en-NZ"/>
              </w:rPr>
            </w:pPr>
            <w:r w:rsidRPr="00282CAE">
              <w:t>3.  Confirm acceptability of contract or agreement.</w:t>
            </w:r>
          </w:p>
        </w:tc>
        <w:tc>
          <w:tcPr>
            <w:tcW w:w="6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CAE" w:rsidP="00282CAE">
            <w:pPr>
              <w:pStyle w:val="List"/>
            </w:pPr>
            <w:r w:rsidRPr="00282CAE">
              <w:t>3.1. Condu</w:t>
            </w:r>
            <w:r w:rsidRPr="00282CAE">
              <w:t xml:space="preserve">ct due diligence checks on property and record findings. </w:t>
            </w:r>
          </w:p>
          <w:p w:rsidR="00000000" w:rsidRPr="00282CAE" w:rsidP="00282CAE">
            <w:pPr>
              <w:pStyle w:val="List"/>
            </w:pPr>
            <w:r w:rsidRPr="00282CAE">
              <w:t>3.2. Issue instructions to consultants for property inspection.</w:t>
            </w:r>
          </w:p>
          <w:p w:rsidR="00000000" w:rsidRPr="00282CAE" w:rsidP="00282CAE">
            <w:pPr>
              <w:pStyle w:val="List"/>
            </w:pPr>
            <w:r w:rsidRPr="00282CAE">
              <w:t>3.3. Liaise with relevant parties regarding property upgrade and maintenance requirements.</w:t>
            </w:r>
          </w:p>
          <w:p w:rsidR="00000000" w:rsidRPr="00282CAE" w:rsidP="00282CAE">
            <w:pPr>
              <w:pStyle w:val="List"/>
            </w:pPr>
            <w:r w:rsidRPr="00282CAE">
              <w:t xml:space="preserve">3.4. Confirm availability of finance. </w:t>
            </w:r>
          </w:p>
          <w:p w:rsidR="00000000" w:rsidP="00282CAE">
            <w:pPr>
              <w:pStyle w:val="List"/>
              <w:rPr>
                <w:lang w:val="en-NZ"/>
              </w:rPr>
            </w:pPr>
            <w:r w:rsidRPr="00282CAE">
              <w:t>3.5.</w:t>
            </w:r>
            <w:r w:rsidRPr="00282CAE">
              <w:t xml:space="preserve"> Confirm pre-purchase and transfer inspection reports.</w:t>
            </w:r>
          </w:p>
        </w:tc>
      </w:tr>
      <w:tr w:rsidTr="0028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AE">
            <w:pPr>
              <w:pStyle w:val="List"/>
              <w:rPr>
                <w:lang w:val="en-NZ"/>
              </w:rPr>
            </w:pPr>
            <w:r w:rsidRPr="00282CAE">
              <w:t>4.  Prepare for exchanges and transfers.</w:t>
            </w:r>
          </w:p>
        </w:tc>
        <w:tc>
          <w:tcPr>
            <w:tcW w:w="6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CAE" w:rsidP="00282CAE">
            <w:pPr>
              <w:pStyle w:val="List"/>
            </w:pPr>
            <w:r w:rsidRPr="00282CAE">
              <w:t>4.1. Organise financial deposit if required for exchanges and transfers.</w:t>
            </w:r>
          </w:p>
          <w:p w:rsidR="00000000" w:rsidRPr="00282CAE" w:rsidP="00282CAE">
            <w:pPr>
              <w:pStyle w:val="List"/>
            </w:pPr>
            <w:r w:rsidRPr="00282CAE">
              <w:t xml:space="preserve">4.2. Confirm documentation required for exchanges and transfers. </w:t>
            </w:r>
          </w:p>
          <w:p w:rsidR="00000000" w:rsidP="00282CAE">
            <w:pPr>
              <w:pStyle w:val="List"/>
              <w:rPr>
                <w:lang w:val="en-NZ"/>
              </w:rPr>
            </w:pPr>
            <w:r w:rsidRPr="00282CAE">
              <w:t>4.3. Prepare and ame</w:t>
            </w:r>
            <w:r w:rsidRPr="00282CAE">
              <w:t>nd contracts and transfer agreements ready for exchanges and transfers.</w:t>
            </w:r>
          </w:p>
        </w:tc>
      </w:tr>
      <w:tr w:rsidTr="0028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AE">
            <w:pPr>
              <w:pStyle w:val="List"/>
              <w:rPr>
                <w:lang w:val="en-NZ"/>
              </w:rPr>
            </w:pPr>
            <w:r w:rsidRPr="00282CAE">
              <w:t>5.  Exchange contracts and transfer documentation.</w:t>
            </w:r>
          </w:p>
        </w:tc>
        <w:tc>
          <w:tcPr>
            <w:tcW w:w="6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CAE" w:rsidP="00282CAE">
            <w:pPr>
              <w:pStyle w:val="List"/>
            </w:pPr>
            <w:r w:rsidRPr="00282CAE">
              <w:t>5.1. Confirm contracts are identical and as agreed.</w:t>
            </w:r>
          </w:p>
          <w:p w:rsidR="00000000" w:rsidRPr="00282CAE" w:rsidP="00282CAE">
            <w:pPr>
              <w:pStyle w:val="List"/>
            </w:pPr>
            <w:r w:rsidRPr="00282CAE">
              <w:t>5.2. Exchange contracts and deposit as required for transfer.</w:t>
            </w:r>
          </w:p>
          <w:p w:rsidR="00000000" w:rsidP="00282CAE">
            <w:pPr>
              <w:pStyle w:val="List"/>
              <w:rPr>
                <w:lang w:val="en-NZ"/>
              </w:rPr>
            </w:pPr>
            <w:r w:rsidRPr="00282CAE">
              <w:t>5.3. Date contracts for each party.</w:t>
            </w:r>
          </w:p>
        </w:tc>
      </w:tr>
      <w:tr w:rsidTr="0028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AE">
            <w:pPr>
              <w:pStyle w:val="List"/>
              <w:rPr>
                <w:lang w:val="en-NZ"/>
              </w:rPr>
            </w:pPr>
            <w:r w:rsidRPr="00282CAE">
              <w:t>6.  Prepare for settlement.</w:t>
            </w:r>
          </w:p>
        </w:tc>
        <w:tc>
          <w:tcPr>
            <w:tcW w:w="6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CAE" w:rsidP="00282CAE">
            <w:pPr>
              <w:pStyle w:val="List"/>
            </w:pPr>
            <w:r w:rsidRPr="00282CAE">
              <w:t xml:space="preserve">6.1. Conduct and arrange statutory enquiries. </w:t>
            </w:r>
          </w:p>
          <w:p w:rsidR="00000000" w:rsidRPr="00282CAE" w:rsidP="00282CAE">
            <w:pPr>
              <w:pStyle w:val="List"/>
            </w:pPr>
            <w:r w:rsidRPr="00282CAE">
              <w:t xml:space="preserve">6.2. Issue requisitions on title. </w:t>
            </w:r>
          </w:p>
          <w:p w:rsidR="00000000" w:rsidRPr="00282CAE" w:rsidP="00282CAE">
            <w:pPr>
              <w:pStyle w:val="List"/>
            </w:pPr>
            <w:r w:rsidRPr="00282CAE">
              <w:t xml:space="preserve">6.3. Prepare transfer document. </w:t>
            </w:r>
          </w:p>
          <w:p w:rsidR="00000000" w:rsidRPr="00282CAE" w:rsidP="00282CAE">
            <w:pPr>
              <w:pStyle w:val="List"/>
            </w:pPr>
            <w:r w:rsidRPr="00282CAE">
              <w:t>6.4. Complete all pre-transfer financial obligations.</w:t>
            </w:r>
          </w:p>
          <w:p w:rsidR="00000000" w:rsidRPr="00282CAE" w:rsidP="00282CAE">
            <w:pPr>
              <w:pStyle w:val="List"/>
            </w:pPr>
            <w:r w:rsidRPr="00282CAE">
              <w:t>6.5. Submit stamp duty</w:t>
            </w:r>
            <w:r w:rsidRPr="00282CAE">
              <w:t xml:space="preserve"> and documentation required for settlement. </w:t>
            </w:r>
          </w:p>
          <w:p w:rsidR="00000000" w:rsidRPr="00282CAE" w:rsidP="00282CAE">
            <w:pPr>
              <w:pStyle w:val="List"/>
            </w:pPr>
            <w:r w:rsidRPr="00282CAE">
              <w:t xml:space="preserve">6.6. Send stamped transfer to vendor for execution. </w:t>
            </w:r>
          </w:p>
          <w:p w:rsidR="00000000" w:rsidP="00282CAE">
            <w:pPr>
              <w:pStyle w:val="List"/>
              <w:rPr>
                <w:lang w:val="en-NZ"/>
              </w:rPr>
            </w:pPr>
            <w:r w:rsidRPr="00282CAE">
              <w:t>6.7. Arrange settlement time, date and finance.</w:t>
            </w:r>
          </w:p>
        </w:tc>
      </w:tr>
      <w:tr w:rsidTr="0028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AE">
            <w:pPr>
              <w:pStyle w:val="List"/>
              <w:rPr>
                <w:lang w:val="en-NZ"/>
              </w:rPr>
            </w:pPr>
            <w:r w:rsidRPr="00282CAE">
              <w:t>7.  Confirm legal transfer.</w:t>
            </w:r>
          </w:p>
        </w:tc>
        <w:tc>
          <w:tcPr>
            <w:tcW w:w="6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CAE" w:rsidP="00282CAE">
            <w:pPr>
              <w:pStyle w:val="List"/>
            </w:pPr>
            <w:r w:rsidRPr="00282CAE">
              <w:t xml:space="preserve">7.1. Attend settlement. </w:t>
            </w:r>
          </w:p>
          <w:p w:rsidR="00000000" w:rsidRPr="00282CAE" w:rsidP="00282CAE">
            <w:pPr>
              <w:pStyle w:val="List"/>
            </w:pPr>
            <w:r w:rsidRPr="00282CAE">
              <w:t>7.2. Obtain final search on property for encumbrances.</w:t>
            </w:r>
          </w:p>
          <w:p w:rsidR="00000000" w:rsidRPr="00282CAE" w:rsidP="00282CAE">
            <w:pPr>
              <w:pStyle w:val="List"/>
            </w:pPr>
            <w:r w:rsidRPr="00282CAE">
              <w:t>7</w:t>
            </w:r>
            <w:r w:rsidRPr="00282CAE">
              <w:t xml:space="preserve">.3. Conduct handover of title and transfer document. </w:t>
            </w:r>
          </w:p>
          <w:p w:rsidR="00000000" w:rsidRPr="00282CAE" w:rsidP="00282CAE">
            <w:pPr>
              <w:pStyle w:val="List"/>
            </w:pPr>
            <w:r w:rsidRPr="00282CAE">
              <w:t xml:space="preserve">7.4. Check documentation. </w:t>
            </w:r>
          </w:p>
          <w:p w:rsidR="00000000" w:rsidRPr="00282CAE" w:rsidP="00282CAE">
            <w:pPr>
              <w:pStyle w:val="List"/>
            </w:pPr>
            <w:r w:rsidRPr="00282CAE">
              <w:t xml:space="preserve">7.5. Conduct handover of finances. </w:t>
            </w:r>
          </w:p>
          <w:p w:rsidR="00000000" w:rsidRPr="00282CAE" w:rsidP="00282CAE">
            <w:pPr>
              <w:pStyle w:val="List"/>
            </w:pPr>
            <w:r w:rsidRPr="00282CAE">
              <w:t xml:space="preserve">7.6. Register documents with statutory authority. </w:t>
            </w:r>
          </w:p>
          <w:p w:rsidR="00000000" w:rsidP="00282CAE">
            <w:pPr>
              <w:pStyle w:val="List"/>
              <w:rPr>
                <w:lang w:val="en-NZ"/>
              </w:rPr>
            </w:pPr>
            <w:r w:rsidRPr="00282CAE">
              <w:t>7.7. Accept new land issues in purchaser’s name.</w:t>
            </w:r>
          </w:p>
        </w:tc>
      </w:tr>
      <w:tr w:rsidTr="0028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6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AE">
            <w:pPr>
              <w:pStyle w:val="List"/>
              <w:rPr>
                <w:lang w:val="en-NZ"/>
              </w:rPr>
            </w:pPr>
            <w:r w:rsidRPr="00282CAE">
              <w:t>8.  Document asset to property portfol</w:t>
            </w:r>
            <w:r w:rsidRPr="00282CAE">
              <w:t>io.</w:t>
            </w:r>
          </w:p>
        </w:tc>
        <w:tc>
          <w:tcPr>
            <w:tcW w:w="6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CAE" w:rsidP="00282CAE">
            <w:pPr>
              <w:pStyle w:val="List"/>
            </w:pPr>
            <w:r w:rsidRPr="00282CAE">
              <w:t xml:space="preserve">8.1. Enter details into property management system. </w:t>
            </w:r>
          </w:p>
          <w:p w:rsidR="00000000" w:rsidRPr="00282CAE" w:rsidP="00282CAE">
            <w:pPr>
              <w:pStyle w:val="List"/>
            </w:pPr>
            <w:r w:rsidRPr="00282CAE">
              <w:t>8.2. File property documentation.</w:t>
            </w:r>
          </w:p>
        </w:tc>
      </w:tr>
    </w:tbl>
    <w:p w:rsidR="00442C9E" w:rsidP="00282CAE">
      <w:pPr>
        <w:pStyle w:val="List"/>
      </w:pPr>
    </w:p>
    <w:p w:rsidR="00442C9E" w:rsidP="00282CAE">
      <w:pPr>
        <w:pStyle w:val="List"/>
      </w:pPr>
    </w:p>
    <w:p w:rsidR="00000000" w:rsidRPr="00282CAE" w:rsidP="00282CAE">
      <w:pPr>
        <w:pStyle w:val="Heading1"/>
      </w:pPr>
      <w:bookmarkStart w:id="7" w:name="O_1181362"/>
      <w:bookmarkEnd w:id="7"/>
      <w:r w:rsidRPr="00282CAE">
        <w:t>Foundation Skills</w:t>
      </w:r>
    </w:p>
    <w:p w:rsidR="00000000" w:rsidRPr="00282CAE" w:rsidP="00442C9E">
      <w:pPr>
        <w:pStyle w:val="BodyText"/>
      </w:pPr>
      <w:r w:rsidRPr="00282CAE">
        <w:t>Foundation skills essential to performance are explicit in the performance criteria of this unit of competency.</w:t>
      </w:r>
    </w:p>
    <w:p w:rsidR="00000000" w:rsidRPr="00282CAE" w:rsidP="00282CAE">
      <w:pPr>
        <w:pStyle w:val="Heading1"/>
      </w:pPr>
      <w:bookmarkStart w:id="8" w:name="O_1181364"/>
      <w:bookmarkEnd w:id="8"/>
      <w:r w:rsidRPr="00282CAE">
        <w:t>Unit Mapping Information</w:t>
      </w:r>
    </w:p>
    <w:p w:rsidR="00000000" w:rsidRPr="00282CAE" w:rsidP="00442C9E">
      <w:pPr>
        <w:pStyle w:val="BodyText"/>
      </w:pPr>
      <w:r w:rsidRPr="00282CAE">
        <w:t xml:space="preserve">Release 1. CHCSOH023 Acquire properties by purchase or transfer supersedes and is equivalent to CHCSOH012 Acquire properties by purchase or transfer. </w:t>
      </w:r>
    </w:p>
    <w:p w:rsidR="00000000" w:rsidRPr="00282CAE" w:rsidP="00282CAE">
      <w:pPr>
        <w:pStyle w:val="Heading1"/>
      </w:pPr>
      <w:bookmarkStart w:id="9" w:name="O_1181371"/>
      <w:bookmarkEnd w:id="9"/>
      <w:r w:rsidRPr="00282CAE">
        <w:t>Links</w:t>
      </w:r>
    </w:p>
    <w:p w:rsidR="00000000" w:rsidRPr="00282CAE" w:rsidP="00442C9E">
      <w:pPr>
        <w:pStyle w:val="BodyText"/>
      </w:pPr>
      <w:r w:rsidRPr="00282CAE">
        <w:t>Companion Volume implementation guides are fou</w:t>
      </w:r>
      <w:r w:rsidRPr="00282CAE">
        <w:t xml:space="preserve">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D4C2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82CAE" w:rsidP="00282CAE"/>
    <w:sectPr w:rsidSect="00282C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C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CAE" w:rsidRPr="00442C9E" w:rsidP="00442C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C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C9E" w:rsidP="00282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2C9E" w:rsidP="00282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42C9E" w:rsidP="00282C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C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C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2CAE" w:rsidRPr="00442C9E" w:rsidP="00442C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C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C9E" w:rsidRPr="002D2AF8" w:rsidP="00282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CHCSOH023 Acquire properties by purchase or transfer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42C9E" w:rsidP="00282C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C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2C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2C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2C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2C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2C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2C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2C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2C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2C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2C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CAE"/>
  </w:style>
  <w:style w:type="character" w:customStyle="1" w:styleId="Heading1Char">
    <w:name w:val="Heading 1 Char"/>
    <w:basedOn w:val="DefaultParagraphFont"/>
    <w:link w:val="Heading1"/>
    <w:rsid w:val="00282C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2C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2C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2CA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282CAE"/>
    <w:rPr>
      <w:b/>
      <w:spacing w:val="0"/>
    </w:rPr>
  </w:style>
  <w:style w:type="character" w:styleId="Emphasis">
    <w:name w:val="Emphasis"/>
    <w:basedOn w:val="DefaultParagraphFont"/>
    <w:qFormat/>
    <w:rsid w:val="00282CAE"/>
    <w:rPr>
      <w:i/>
    </w:rPr>
  </w:style>
  <w:style w:type="paragraph" w:customStyle="1" w:styleId="SuperHeading">
    <w:name w:val="SuperHeading"/>
    <w:basedOn w:val="Normal"/>
    <w:rsid w:val="00282C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2C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2C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2C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2C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2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2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2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2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2C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2C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2C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2C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2C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2C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2C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2C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2C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2C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2CA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82C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2C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2C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2C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2C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2C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2C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2C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2C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2C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2C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2C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2C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2C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2C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2C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2C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2C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2CAE"/>
  </w:style>
  <w:style w:type="paragraph" w:styleId="TableofFigures">
    <w:name w:val="table of figures"/>
    <w:basedOn w:val="Normal"/>
    <w:next w:val="Normal"/>
    <w:semiHidden/>
    <w:rsid w:val="00282C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2C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82CAE"/>
    <w:rPr>
      <w:rFonts w:ascii="Wingdings" w:hAnsi="Wingdings"/>
    </w:rPr>
  </w:style>
  <w:style w:type="paragraph" w:customStyle="1" w:styleId="TableHeading">
    <w:name w:val="Table Heading"/>
    <w:basedOn w:val="HeadingBase"/>
    <w:rsid w:val="00282C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2CAE"/>
    <w:rPr>
      <w:color w:val="0033CC"/>
      <w:u w:val="none"/>
    </w:rPr>
  </w:style>
  <w:style w:type="paragraph" w:customStyle="1" w:styleId="BodyTextRight">
    <w:name w:val="Body Text Right"/>
    <w:basedOn w:val="BodyText"/>
    <w:rsid w:val="00282C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2C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2C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2C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2C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2C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2CAE"/>
    <w:rPr>
      <w:sz w:val="32"/>
    </w:rPr>
  </w:style>
  <w:style w:type="paragraph" w:customStyle="1" w:styleId="HeadingProcedure">
    <w:name w:val="Heading Procedure"/>
    <w:basedOn w:val="HeadingBase"/>
    <w:next w:val="Normal"/>
    <w:rsid w:val="00282C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2CAE"/>
    <w:pPr>
      <w:spacing w:before="60" w:after="60"/>
    </w:pPr>
  </w:style>
  <w:style w:type="paragraph" w:styleId="ListContinue">
    <w:name w:val="List Continue"/>
    <w:basedOn w:val="List"/>
    <w:rsid w:val="00282CAE"/>
    <w:pPr>
      <w:ind w:firstLine="0"/>
    </w:pPr>
  </w:style>
  <w:style w:type="paragraph" w:customStyle="1" w:styleId="ListNote">
    <w:name w:val="List Note"/>
    <w:basedOn w:val="List"/>
    <w:rsid w:val="00282C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2C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2C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2CAE"/>
    <w:rPr>
      <w:rFonts w:ascii="Courier New" w:hAnsi="Courier New"/>
    </w:rPr>
  </w:style>
  <w:style w:type="paragraph" w:customStyle="1" w:styleId="NoteBullet">
    <w:name w:val="Note Bullet"/>
    <w:basedOn w:val="Note"/>
    <w:rsid w:val="00282C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2C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2C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2C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2C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82C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2C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2CAE"/>
    <w:rPr>
      <w:b/>
      <w:smallCaps/>
    </w:rPr>
  </w:style>
  <w:style w:type="paragraph" w:customStyle="1" w:styleId="TableListNumber">
    <w:name w:val="Table List Number"/>
    <w:basedOn w:val="ListNumber"/>
    <w:rsid w:val="00282C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2C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2CAE"/>
    <w:pPr>
      <w:numPr>
        <w:numId w:val="7"/>
      </w:numPr>
    </w:pPr>
  </w:style>
  <w:style w:type="paragraph" w:customStyle="1" w:styleId="ListAlpha2">
    <w:name w:val="List Alpha 2"/>
    <w:basedOn w:val="List2"/>
    <w:rsid w:val="00282CAE"/>
    <w:pPr>
      <w:numPr>
        <w:numId w:val="6"/>
      </w:numPr>
    </w:pPr>
  </w:style>
  <w:style w:type="paragraph" w:styleId="List2">
    <w:name w:val="List 2"/>
    <w:basedOn w:val="BodyText"/>
    <w:rsid w:val="00282C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2C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2C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2C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2C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2C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82CAE"/>
    <w:pPr>
      <w:numPr>
        <w:numId w:val="2"/>
      </w:numPr>
    </w:pPr>
  </w:style>
  <w:style w:type="paragraph" w:styleId="ListContinue2">
    <w:name w:val="List Continue 2"/>
    <w:basedOn w:val="List2"/>
    <w:rsid w:val="00282CAE"/>
    <w:pPr>
      <w:ind w:firstLine="0"/>
    </w:pPr>
  </w:style>
  <w:style w:type="paragraph" w:styleId="ListContinue3">
    <w:name w:val="List Continue 3"/>
    <w:basedOn w:val="List3"/>
    <w:rsid w:val="00282CAE"/>
    <w:pPr>
      <w:ind w:left="1021" w:firstLine="0"/>
    </w:pPr>
  </w:style>
  <w:style w:type="paragraph" w:styleId="ListContinue4">
    <w:name w:val="List Continue 4"/>
    <w:basedOn w:val="List4"/>
    <w:rsid w:val="00282CAE"/>
    <w:pPr>
      <w:ind w:firstLine="0"/>
    </w:pPr>
  </w:style>
  <w:style w:type="paragraph" w:styleId="ListContinue5">
    <w:name w:val="List Continue 5"/>
    <w:basedOn w:val="List5"/>
    <w:rsid w:val="00282CAE"/>
    <w:pPr>
      <w:ind w:firstLine="0"/>
    </w:pPr>
  </w:style>
  <w:style w:type="paragraph" w:styleId="ListNumber3">
    <w:name w:val="List Number 3"/>
    <w:basedOn w:val="List3"/>
    <w:rsid w:val="00282CAE"/>
    <w:pPr>
      <w:numPr>
        <w:numId w:val="3"/>
      </w:numPr>
    </w:pPr>
  </w:style>
  <w:style w:type="paragraph" w:styleId="ListNumber4">
    <w:name w:val="List Number 4"/>
    <w:basedOn w:val="List4"/>
    <w:rsid w:val="00282CAE"/>
    <w:pPr>
      <w:numPr>
        <w:numId w:val="4"/>
      </w:numPr>
    </w:pPr>
  </w:style>
  <w:style w:type="paragraph" w:styleId="ListNumber5">
    <w:name w:val="List Number 5"/>
    <w:basedOn w:val="List5"/>
    <w:rsid w:val="00282CAE"/>
    <w:pPr>
      <w:numPr>
        <w:numId w:val="5"/>
      </w:numPr>
    </w:pPr>
  </w:style>
  <w:style w:type="paragraph" w:styleId="BlockText">
    <w:name w:val="Block Text"/>
    <w:basedOn w:val="Normal"/>
    <w:rsid w:val="00282C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2C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2CAE"/>
    <w:rPr>
      <w:sz w:val="16"/>
      <w:vertAlign w:val="superscript"/>
    </w:rPr>
  </w:style>
  <w:style w:type="character" w:customStyle="1" w:styleId="Symbols">
    <w:name w:val="Symbols"/>
    <w:basedOn w:val="DefaultParagraphFont"/>
    <w:rsid w:val="00282CAE"/>
    <w:rPr>
      <w:rFonts w:ascii="Symbol" w:hAnsi="Symbol"/>
    </w:rPr>
  </w:style>
  <w:style w:type="character" w:customStyle="1" w:styleId="MenuOptions">
    <w:name w:val="Menu Options"/>
    <w:basedOn w:val="DefaultParagraphFont"/>
    <w:rsid w:val="00282C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2CAE"/>
    <w:rPr>
      <w:b/>
    </w:rPr>
  </w:style>
  <w:style w:type="character" w:customStyle="1" w:styleId="Underlined">
    <w:name w:val="Underlined"/>
    <w:basedOn w:val="DefaultParagraphFont"/>
    <w:rsid w:val="00282CAE"/>
    <w:rPr>
      <w:u w:val="single"/>
    </w:rPr>
  </w:style>
  <w:style w:type="paragraph" w:customStyle="1" w:styleId="TableBodyTextRight">
    <w:name w:val="Table Body Text Right"/>
    <w:basedOn w:val="TableBodyText"/>
    <w:rsid w:val="00282C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2CAE"/>
    <w:rPr>
      <w:sz w:val="18"/>
    </w:rPr>
  </w:style>
  <w:style w:type="paragraph" w:customStyle="1" w:styleId="BodySmallRight">
    <w:name w:val="Body Small Right"/>
    <w:basedOn w:val="BodyTextRight"/>
    <w:rsid w:val="00282CAE"/>
    <w:rPr>
      <w:sz w:val="18"/>
      <w:szCs w:val="18"/>
    </w:rPr>
  </w:style>
  <w:style w:type="paragraph" w:customStyle="1" w:styleId="MarginEdition">
    <w:name w:val="Margin Edition"/>
    <w:basedOn w:val="MarginNote"/>
    <w:rsid w:val="00282C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2CAE"/>
    <w:rPr>
      <w:sz w:val="2"/>
      <w:szCs w:val="2"/>
    </w:rPr>
  </w:style>
  <w:style w:type="character" w:customStyle="1" w:styleId="Small">
    <w:name w:val="Small"/>
    <w:basedOn w:val="DefaultParagraphFont"/>
    <w:rsid w:val="00282CAE"/>
    <w:rPr>
      <w:sz w:val="16"/>
    </w:rPr>
  </w:style>
  <w:style w:type="paragraph" w:customStyle="1" w:styleId="WideTable">
    <w:name w:val="Wide Table"/>
    <w:basedOn w:val="Normal"/>
    <w:rsid w:val="00282C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2CAE"/>
  </w:style>
  <w:style w:type="paragraph" w:styleId="Quote">
    <w:name w:val="Quote"/>
    <w:basedOn w:val="Heading1"/>
    <w:link w:val="QuoteChar"/>
    <w:qFormat/>
    <w:rsid w:val="00282C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2C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2CAE"/>
    <w:pPr>
      <w:pageBreakBefore/>
    </w:pPr>
  </w:style>
  <w:style w:type="paragraph" w:customStyle="1" w:styleId="Border">
    <w:name w:val="Border"/>
    <w:basedOn w:val="Normal"/>
    <w:qFormat/>
    <w:rsid w:val="00282C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2C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C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C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2C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2C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2C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2C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2C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2CAE"/>
    <w:rPr>
      <w:u w:val="single"/>
    </w:rPr>
  </w:style>
  <w:style w:type="character" w:customStyle="1" w:styleId="BoldandItalics">
    <w:name w:val="Bold and Italics"/>
    <w:qFormat/>
    <w:rsid w:val="00282CAE"/>
    <w:rPr>
      <w:b/>
      <w:i/>
      <w:u w:val="none"/>
    </w:rPr>
  </w:style>
  <w:style w:type="paragraph" w:styleId="BalloonText">
    <w:name w:val="Balloon Text"/>
    <w:basedOn w:val="Normal"/>
    <w:link w:val="BalloonTextChar"/>
    <w:rsid w:val="00282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C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2C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2C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2C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2C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2CAE"/>
    <w:pPr>
      <w:spacing w:before="0" w:after="0"/>
    </w:pPr>
  </w:style>
  <w:style w:type="paragraph" w:customStyle="1" w:styleId="BodyTextBold">
    <w:name w:val="Body Text Bold"/>
    <w:basedOn w:val="BodyText"/>
    <w:qFormat/>
    <w:rsid w:val="00282CAE"/>
    <w:rPr>
      <w:b/>
    </w:rPr>
  </w:style>
  <w:style w:type="character" w:styleId="Hyperlink">
    <w:name w:val="Hyperlink"/>
    <w:basedOn w:val="DefaultParagraphFont"/>
    <w:uiPriority w:val="99"/>
    <w:unhideWhenUsed/>
    <w:rsid w:val="00442C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3645</Characters>
  <Application>Microsoft Office Word</Application>
  <DocSecurity>0</DocSecurity>
  <Lines>117</Lines>
  <Paragraphs>82</Paragraphs>
  <ScaleCrop>false</ScaleCrop>
  <Company>Author-it Software Corporation Ltd.</Company>
  <LinksUpToDate>false</LinksUpToDate>
  <CharactersWithSpaces>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CHCSOH023 Acquire properties by purchase or transfer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2023-07-02T02:17:00Z</dcterms:created>
  <dcterms:modified xsi:type="dcterms:W3CDTF">2023-07-02T02:17:00Z</dcterms:modified>
</cp:coreProperties>
</file>