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03B" w:rsidP="00D440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CHCSOH021 Work with clients within the social housing system</w:t>
      </w:r>
      <w:r>
        <w:fldChar w:fldCharType="end"/>
      </w:r>
    </w:p>
    <w:p w:rsidR="00D4403B" w:rsidP="00D4403B">
      <w:pPr>
        <w:pStyle w:val="Version"/>
        <w:sectPr w:rsidSect="006F7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4E5" w:rsidP="006F74E5">
      <w:pPr>
        <w:pStyle w:val="SuperHeading"/>
      </w:pPr>
      <w:r w:rsidRPr="006F74E5">
        <w:t>Assessment Requirements for CHCSOH021 Work with clients within the social housing system</w:t>
      </w:r>
    </w:p>
    <w:p w:rsidR="00000000" w:rsidRPr="006F74E5" w:rsidP="006F74E5">
      <w:pPr>
        <w:pStyle w:val="Heading1"/>
      </w:pPr>
      <w:bookmarkStart w:id="1" w:name="O_1181328"/>
      <w:bookmarkEnd w:id="1"/>
      <w:r w:rsidRPr="006F74E5">
        <w:t>Modification History</w:t>
      </w:r>
    </w:p>
    <w:p w:rsidR="00000000" w:rsidRPr="006F74E5" w:rsidP="00D4403B">
      <w:pPr>
        <w:pStyle w:val="BodyText"/>
      </w:pPr>
      <w:r w:rsidRPr="006F74E5">
        <w:t xml:space="preserve">Release 1. Supersedes and is not equivalent to CHCSOH010 Work with clients within the social housing system. </w:t>
      </w:r>
    </w:p>
    <w:p w:rsidR="00000000" w:rsidRPr="006F74E5" w:rsidP="006F74E5">
      <w:pPr>
        <w:pStyle w:val="Heading1"/>
      </w:pPr>
      <w:bookmarkStart w:id="2" w:name="O_1181329"/>
      <w:bookmarkEnd w:id="2"/>
      <w:r w:rsidRPr="006F74E5">
        <w:t>Performance Evidence</w:t>
      </w:r>
    </w:p>
    <w:p w:rsidR="00000000" w:rsidRPr="006F74E5" w:rsidP="00D4403B">
      <w:pPr>
        <w:pStyle w:val="BodyText"/>
      </w:pPr>
      <w:r w:rsidRPr="006F74E5">
        <w:t>Evidence of the ability to complete tasks outlined in elements and performance criteria of this unit in the context of the job role, and:</w:t>
      </w:r>
    </w:p>
    <w:p w:rsidR="00000000" w:rsidRPr="006F74E5" w:rsidP="006F74E5">
      <w:pPr>
        <w:pStyle w:val="ListBullet"/>
      </w:pPr>
      <w:r w:rsidRPr="006F74E5">
        <w:t>assist three clients including at least one individual and one family who are in search</w:t>
      </w:r>
      <w:r w:rsidRPr="006F74E5">
        <w:t xml:space="preserve"> of housing or need assistance with maintaining housing and accommodation.</w:t>
      </w:r>
    </w:p>
    <w:p w:rsidR="00000000" w:rsidRPr="006F74E5" w:rsidP="006F74E5">
      <w:pPr>
        <w:pStyle w:val="AllowPageBreak"/>
      </w:pPr>
    </w:p>
    <w:p w:rsidR="00000000" w:rsidRPr="006F74E5" w:rsidP="006F74E5">
      <w:pPr>
        <w:pStyle w:val="Heading1"/>
      </w:pPr>
      <w:bookmarkStart w:id="3" w:name="O_1181330"/>
      <w:bookmarkEnd w:id="3"/>
      <w:r w:rsidRPr="006F74E5">
        <w:t>Knowledge Evidence</w:t>
      </w:r>
    </w:p>
    <w:p w:rsidR="00000000" w:rsidRPr="006F74E5" w:rsidP="00D4403B">
      <w:pPr>
        <w:pStyle w:val="BodyText"/>
      </w:pPr>
      <w:r w:rsidRPr="006F74E5">
        <w:t>Demonstrated knowledge required to complete the tasks outlined in elements and performance criteria of this unit:</w:t>
      </w:r>
    </w:p>
    <w:p w:rsidR="00000000" w:rsidRPr="006F74E5" w:rsidP="006F74E5">
      <w:pPr>
        <w:pStyle w:val="ListBullet"/>
      </w:pPr>
      <w:r w:rsidRPr="006F74E5">
        <w:t xml:space="preserve">components and structure of </w:t>
      </w:r>
      <w:r w:rsidRPr="006F74E5">
        <w:t>the social housing sector</w:t>
      </w:r>
    </w:p>
    <w:p w:rsidR="00000000" w:rsidRPr="006F74E5" w:rsidP="006F74E5">
      <w:pPr>
        <w:pStyle w:val="ListBullet"/>
      </w:pPr>
      <w:r w:rsidRPr="006F74E5">
        <w:t>range and variety of service provision:</w:t>
      </w:r>
    </w:p>
    <w:p w:rsidR="00000000" w:rsidRPr="006F74E5" w:rsidP="006F74E5">
      <w:pPr>
        <w:pStyle w:val="ListBullet2"/>
      </w:pPr>
      <w:r w:rsidRPr="006F74E5">
        <w:t>homelessness</w:t>
      </w:r>
    </w:p>
    <w:p w:rsidR="00000000" w:rsidRPr="006F74E5" w:rsidP="006F74E5">
      <w:pPr>
        <w:pStyle w:val="ListBullet2"/>
      </w:pPr>
      <w:r w:rsidRPr="006F74E5">
        <w:t>crisis management</w:t>
      </w:r>
    </w:p>
    <w:p w:rsidR="00000000" w:rsidRPr="006F74E5" w:rsidP="006F74E5">
      <w:pPr>
        <w:pStyle w:val="ListBullet2"/>
      </w:pPr>
      <w:r w:rsidRPr="006F74E5">
        <w:t>crisis refuges including youth and family violence</w:t>
      </w:r>
    </w:p>
    <w:p w:rsidR="00000000" w:rsidRPr="006F74E5" w:rsidP="006F74E5">
      <w:pPr>
        <w:pStyle w:val="ListBullet2"/>
      </w:pPr>
      <w:r w:rsidRPr="006F74E5">
        <w:t xml:space="preserve">cooperatives </w:t>
      </w:r>
    </w:p>
    <w:p w:rsidR="00000000" w:rsidRPr="006F74E5" w:rsidP="006F74E5">
      <w:pPr>
        <w:pStyle w:val="ListBullet2"/>
      </w:pPr>
      <w:r w:rsidRPr="006F74E5">
        <w:t xml:space="preserve">transitional housing </w:t>
      </w:r>
    </w:p>
    <w:p w:rsidR="00000000" w:rsidRPr="006F74E5" w:rsidP="006F74E5">
      <w:pPr>
        <w:pStyle w:val="ListBullet2"/>
      </w:pPr>
      <w:r w:rsidRPr="006F74E5">
        <w:t>long-term housing</w:t>
      </w:r>
    </w:p>
    <w:p w:rsidR="00000000" w:rsidRPr="006F74E5" w:rsidP="006F74E5">
      <w:pPr>
        <w:pStyle w:val="ListBullet"/>
      </w:pPr>
      <w:r w:rsidRPr="006F74E5">
        <w:t>historical, social and political economic context and development of the Australian social housing system and changes over time</w:t>
      </w:r>
    </w:p>
    <w:p w:rsidR="00000000" w:rsidRPr="006F74E5" w:rsidP="006F74E5">
      <w:pPr>
        <w:pStyle w:val="ListBullet"/>
      </w:pPr>
      <w:r w:rsidRPr="006F74E5">
        <w:t>current and historical factors which impact on the provision of housing</w:t>
      </w:r>
    </w:p>
    <w:p w:rsidR="00000000" w:rsidRPr="006F74E5" w:rsidP="006F74E5">
      <w:pPr>
        <w:pStyle w:val="ListBullet"/>
      </w:pPr>
      <w:r w:rsidRPr="006F74E5">
        <w:t>Commonwealth and State or Territory legal and ethical co</w:t>
      </w:r>
      <w:r w:rsidRPr="006F74E5">
        <w:t>nsiderations relevant to housing and how these are applied in organisations and in individual practice:</w:t>
      </w:r>
    </w:p>
    <w:p w:rsidR="00000000" w:rsidRPr="006F74E5" w:rsidP="006F74E5">
      <w:pPr>
        <w:pStyle w:val="ListBullet2"/>
      </w:pPr>
      <w:r w:rsidRPr="006F74E5">
        <w:t>access and equity</w:t>
      </w:r>
    </w:p>
    <w:p w:rsidR="00000000" w:rsidRPr="006F74E5" w:rsidP="006F74E5">
      <w:pPr>
        <w:pStyle w:val="ListBullet2"/>
      </w:pPr>
      <w:r w:rsidRPr="006F74E5">
        <w:t>human rights</w:t>
      </w:r>
    </w:p>
    <w:p w:rsidR="00000000" w:rsidRPr="006F74E5" w:rsidP="006F74E5">
      <w:pPr>
        <w:pStyle w:val="ListBullet2"/>
      </w:pPr>
      <w:r w:rsidRPr="006F74E5">
        <w:t xml:space="preserve">privacy and confidentiality </w:t>
      </w:r>
    </w:p>
    <w:p w:rsidR="00000000" w:rsidRPr="006F74E5" w:rsidP="006F74E5">
      <w:pPr>
        <w:pStyle w:val="ListBullet2"/>
      </w:pPr>
      <w:r w:rsidRPr="006F74E5">
        <w:t>duty of care</w:t>
      </w:r>
    </w:p>
    <w:p w:rsidR="00000000" w:rsidRPr="006F74E5" w:rsidP="006F74E5">
      <w:pPr>
        <w:pStyle w:val="ListBullet2"/>
      </w:pPr>
      <w:r w:rsidRPr="006F74E5">
        <w:t>mandatory reporting</w:t>
      </w:r>
    </w:p>
    <w:p w:rsidR="00000000" w:rsidRPr="006F74E5" w:rsidP="006F74E5">
      <w:pPr>
        <w:pStyle w:val="ListBullet"/>
      </w:pPr>
      <w:r w:rsidRPr="006F74E5">
        <w:t>interpersonal communication techniques</w:t>
      </w:r>
    </w:p>
    <w:p w:rsidR="00000000" w:rsidRPr="006F74E5" w:rsidP="006F74E5">
      <w:pPr>
        <w:pStyle w:val="ListBullet"/>
      </w:pPr>
      <w:r w:rsidRPr="006F74E5">
        <w:t>levels of governme</w:t>
      </w:r>
      <w:r w:rsidRPr="006F74E5">
        <w:t>nt in Australia and their role in the social housing system</w:t>
      </w:r>
    </w:p>
    <w:p w:rsidR="00000000" w:rsidRPr="006F74E5" w:rsidP="006F74E5">
      <w:pPr>
        <w:pStyle w:val="ListBullet"/>
      </w:pPr>
      <w:r w:rsidRPr="006F74E5">
        <w:t>social housing functions and processes:</w:t>
      </w:r>
    </w:p>
    <w:p w:rsidR="00000000" w:rsidRPr="006F74E5" w:rsidP="006F74E5">
      <w:pPr>
        <w:pStyle w:val="ListBullet2"/>
      </w:pPr>
      <w:r w:rsidRPr="006F74E5">
        <w:t>application and allocation</w:t>
      </w:r>
    </w:p>
    <w:p w:rsidR="00000000" w:rsidRPr="006F74E5" w:rsidP="006F74E5">
      <w:pPr>
        <w:pStyle w:val="ListBullet2"/>
      </w:pPr>
      <w:r w:rsidRPr="006F74E5">
        <w:t>eligibility</w:t>
      </w:r>
    </w:p>
    <w:p w:rsidR="00000000" w:rsidRPr="006F74E5" w:rsidP="006F74E5">
      <w:pPr>
        <w:pStyle w:val="ListBullet2"/>
      </w:pPr>
      <w:r w:rsidRPr="006F74E5">
        <w:t>tenancy rebate</w:t>
      </w:r>
    </w:p>
    <w:p w:rsidR="00000000" w:rsidRPr="006F74E5" w:rsidP="006F74E5">
      <w:pPr>
        <w:pStyle w:val="ListBullet2"/>
      </w:pPr>
      <w:r w:rsidRPr="006F74E5">
        <w:t>rent and rental arrears</w:t>
      </w:r>
    </w:p>
    <w:p w:rsidR="00000000" w:rsidRPr="006F74E5" w:rsidP="006F74E5">
      <w:pPr>
        <w:pStyle w:val="ListBullet2"/>
      </w:pPr>
      <w:r w:rsidRPr="006F74E5">
        <w:t>termination</w:t>
      </w:r>
    </w:p>
    <w:p w:rsidR="00000000" w:rsidRPr="006F74E5" w:rsidP="006F74E5">
      <w:pPr>
        <w:pStyle w:val="ListBullet2"/>
      </w:pPr>
      <w:r w:rsidRPr="006F74E5">
        <w:t>eviction</w:t>
      </w:r>
    </w:p>
    <w:p w:rsidR="00000000" w:rsidRPr="006F74E5" w:rsidP="006F74E5">
      <w:pPr>
        <w:pStyle w:val="ListBullet"/>
      </w:pPr>
      <w:r w:rsidRPr="006F74E5">
        <w:t xml:space="preserve">cultural issues that impact on the Australian social housing system for minority groups including newly arrived refugees and for Aboriginal and/or Torres Strait Islander people </w:t>
      </w:r>
    </w:p>
    <w:p w:rsidR="00000000" w:rsidRPr="006F74E5" w:rsidP="006F74E5">
      <w:pPr>
        <w:pStyle w:val="ListBullet"/>
      </w:pPr>
      <w:r w:rsidRPr="006F74E5">
        <w:t>own work role within the context of delivering services in the Australian soci</w:t>
      </w:r>
      <w:r w:rsidRPr="006F74E5">
        <w:t>al housing system</w:t>
      </w:r>
    </w:p>
    <w:p w:rsidR="00000000" w:rsidRPr="006F74E5" w:rsidP="006F74E5">
      <w:pPr>
        <w:pStyle w:val="ListBullet"/>
      </w:pPr>
      <w:r w:rsidRPr="006F74E5">
        <w:t>consumers and consumer groups:</w:t>
      </w:r>
    </w:p>
    <w:p w:rsidR="00000000" w:rsidRPr="006F74E5" w:rsidP="006F74E5">
      <w:pPr>
        <w:pStyle w:val="ListBullet2"/>
      </w:pPr>
      <w:r w:rsidRPr="006F74E5">
        <w:t>demographics</w:t>
      </w:r>
    </w:p>
    <w:p w:rsidR="00000000" w:rsidRPr="006F74E5" w:rsidP="006F74E5">
      <w:pPr>
        <w:pStyle w:val="ListBullet2"/>
      </w:pPr>
      <w:r w:rsidRPr="006F74E5">
        <w:t xml:space="preserve">needs </w:t>
      </w:r>
    </w:p>
    <w:p w:rsidR="00000000" w:rsidRPr="006F74E5" w:rsidP="006F74E5">
      <w:pPr>
        <w:pStyle w:val="ListBullet2"/>
      </w:pPr>
      <w:r w:rsidRPr="006F74E5">
        <w:t>complex issues and types of solutions available to address needs</w:t>
      </w:r>
    </w:p>
    <w:p w:rsidR="00000000" w:rsidRPr="006F74E5" w:rsidP="006F74E5">
      <w:pPr>
        <w:pStyle w:val="ListBullet"/>
      </w:pPr>
      <w:r w:rsidRPr="006F74E5">
        <w:t>principles of client empowerment and disempowerment and community delivered service provision</w:t>
      </w:r>
    </w:p>
    <w:p w:rsidR="00000000" w:rsidRPr="006F74E5" w:rsidP="006F74E5">
      <w:pPr>
        <w:pStyle w:val="ListBullet"/>
      </w:pPr>
      <w:r w:rsidRPr="006F74E5">
        <w:t>range and mix of housing t</w:t>
      </w:r>
      <w:r w:rsidRPr="006F74E5">
        <w:t>ypes and tenures and associated consumers:</w:t>
      </w:r>
    </w:p>
    <w:p w:rsidR="00000000" w:rsidRPr="006F74E5" w:rsidP="006F74E5">
      <w:pPr>
        <w:pStyle w:val="ListBullet2"/>
      </w:pPr>
      <w:r w:rsidRPr="006F74E5">
        <w:t>community housing</w:t>
      </w:r>
    </w:p>
    <w:p w:rsidR="00000000" w:rsidRPr="006F74E5" w:rsidP="006F74E5">
      <w:pPr>
        <w:pStyle w:val="ListBullet2"/>
      </w:pPr>
      <w:r w:rsidRPr="006F74E5">
        <w:t xml:space="preserve">public housing </w:t>
      </w:r>
    </w:p>
    <w:p w:rsidR="00000000" w:rsidRPr="006F74E5" w:rsidP="006F74E5">
      <w:pPr>
        <w:pStyle w:val="ListBullet2"/>
      </w:pPr>
      <w:r w:rsidRPr="006F74E5">
        <w:t>supported housing</w:t>
      </w:r>
    </w:p>
    <w:p w:rsidR="00000000" w:rsidRPr="006F74E5" w:rsidP="006F74E5">
      <w:pPr>
        <w:pStyle w:val="ListBullet2"/>
      </w:pPr>
      <w:r w:rsidRPr="006F74E5">
        <w:t>transitional housing</w:t>
      </w:r>
    </w:p>
    <w:p w:rsidR="00000000" w:rsidRPr="006F74E5" w:rsidP="006F74E5">
      <w:pPr>
        <w:pStyle w:val="ListBullet2"/>
      </w:pPr>
      <w:r w:rsidRPr="006F74E5">
        <w:t>crisis housing</w:t>
      </w:r>
    </w:p>
    <w:p w:rsidR="00000000" w:rsidRPr="006F74E5" w:rsidP="006F74E5">
      <w:pPr>
        <w:pStyle w:val="ListBullet2"/>
      </w:pPr>
      <w:r w:rsidRPr="006F74E5">
        <w:t>homelessness</w:t>
      </w:r>
    </w:p>
    <w:p w:rsidR="00000000" w:rsidRPr="006F74E5" w:rsidP="006F74E5">
      <w:pPr>
        <w:pStyle w:val="ListBullet"/>
      </w:pPr>
      <w:r w:rsidRPr="006F74E5">
        <w:t>tenures in fields of work and key stakeholders in these fields</w:t>
      </w:r>
    </w:p>
    <w:p w:rsidR="00000000" w:rsidRPr="006F74E5" w:rsidP="006F74E5">
      <w:pPr>
        <w:pStyle w:val="ListBullet"/>
      </w:pPr>
      <w:r w:rsidRPr="006F74E5">
        <w:t>mix of tenures in geographic area in own work</w:t>
      </w:r>
    </w:p>
    <w:p w:rsidR="00000000" w:rsidRPr="006F74E5" w:rsidP="006F74E5">
      <w:pPr>
        <w:pStyle w:val="ListBullet"/>
      </w:pPr>
      <w:r w:rsidRPr="006F74E5">
        <w:t>affordable and shared housing options available to address consumer needs and issues</w:t>
      </w:r>
    </w:p>
    <w:p w:rsidR="00000000" w:rsidRPr="006F74E5" w:rsidP="006F74E5">
      <w:pPr>
        <w:pStyle w:val="ListBullet"/>
      </w:pPr>
      <w:r w:rsidRPr="006F74E5">
        <w:t>private rental system and associated stakeholder issues</w:t>
      </w:r>
    </w:p>
    <w:p w:rsidR="00000000" w:rsidRPr="006F74E5" w:rsidP="006F74E5">
      <w:pPr>
        <w:pStyle w:val="ListBullet"/>
      </w:pPr>
      <w:r w:rsidRPr="006F74E5">
        <w:t>referral procedures and networks</w:t>
      </w:r>
    </w:p>
    <w:p w:rsidR="00000000" w:rsidRPr="006F74E5" w:rsidP="006F74E5">
      <w:pPr>
        <w:pStyle w:val="ListBullet"/>
      </w:pPr>
      <w:r w:rsidRPr="006F74E5">
        <w:t>common rental and leasing agreements and financing arrangements for rental propert</w:t>
      </w:r>
      <w:r w:rsidRPr="006F74E5">
        <w:t>ies</w:t>
      </w:r>
    </w:p>
    <w:p w:rsidR="00000000" w:rsidRPr="006F74E5" w:rsidP="006F74E5">
      <w:pPr>
        <w:pStyle w:val="ListBullet"/>
      </w:pPr>
      <w:r w:rsidRPr="006F74E5">
        <w:t>management arrangements for rental.</w:t>
      </w:r>
    </w:p>
    <w:p w:rsidR="00000000" w:rsidRPr="006F74E5" w:rsidP="006F74E5">
      <w:pPr>
        <w:pStyle w:val="AllowPageBreak"/>
      </w:pPr>
    </w:p>
    <w:p w:rsidR="00000000" w:rsidRPr="006F74E5" w:rsidP="006F74E5">
      <w:pPr>
        <w:pStyle w:val="Heading1"/>
      </w:pPr>
      <w:bookmarkStart w:id="4" w:name="O_1181331"/>
      <w:bookmarkEnd w:id="4"/>
      <w:r w:rsidRPr="006F74E5">
        <w:t>Assessment Conditions</w:t>
      </w:r>
    </w:p>
    <w:p w:rsidR="00000000" w:rsidRPr="006F74E5" w:rsidP="00D4403B">
      <w:pPr>
        <w:pStyle w:val="BodyText"/>
      </w:pPr>
      <w:r w:rsidRPr="006F74E5">
        <w:t>Skills must be demonstrated in the workplace or in a simulated environment that reflects workplace conditions.</w:t>
      </w:r>
    </w:p>
    <w:p w:rsidR="00000000" w:rsidRPr="006F74E5" w:rsidP="00D4403B">
      <w:pPr>
        <w:pStyle w:val="BodyText"/>
      </w:pPr>
      <w:r w:rsidRPr="006F74E5">
        <w:t>Assessment must ensure:</w:t>
      </w:r>
    </w:p>
    <w:p w:rsidR="00000000" w:rsidRPr="006F74E5" w:rsidP="006F74E5">
      <w:pPr>
        <w:pStyle w:val="ListBullet"/>
      </w:pPr>
      <w:r w:rsidRPr="006F74E5">
        <w:t>access to suitable facilities, equipment and resources that reflect real working conditions and model industry operating conditions and contingencies</w:t>
      </w:r>
    </w:p>
    <w:p w:rsidR="00000000" w:rsidRPr="006F74E5" w:rsidP="006F74E5">
      <w:pPr>
        <w:pStyle w:val="ListBullet"/>
      </w:pPr>
      <w:r w:rsidRPr="006F74E5">
        <w:t>access to organisational policies and procedures</w:t>
      </w:r>
    </w:p>
    <w:p w:rsidR="00000000" w:rsidRPr="006F74E5" w:rsidP="006F74E5">
      <w:pPr>
        <w:pStyle w:val="ListBullet"/>
      </w:pPr>
      <w:r w:rsidRPr="006F74E5">
        <w:t>opportunities for engagement with clients and multiple ag</w:t>
      </w:r>
      <w:r w:rsidRPr="006F74E5">
        <w:t>encies.</w:t>
      </w:r>
    </w:p>
    <w:p w:rsidR="00000000" w:rsidRPr="006F74E5" w:rsidP="00D4403B">
      <w:pPr>
        <w:pStyle w:val="BodyText"/>
      </w:pPr>
      <w:r w:rsidRPr="006F74E5">
        <w:t>Assessors must satisfy the Standards for Registered Training Organisations’ requirements for assessors.</w:t>
      </w:r>
    </w:p>
    <w:p w:rsidR="00000000" w:rsidRPr="006F74E5" w:rsidP="006F74E5">
      <w:pPr>
        <w:pStyle w:val="Heading1"/>
      </w:pPr>
      <w:bookmarkStart w:id="5" w:name="O_1181334"/>
      <w:bookmarkEnd w:id="5"/>
      <w:r w:rsidRPr="006F74E5">
        <w:t>Links</w:t>
      </w:r>
    </w:p>
    <w:p w:rsidR="00000000" w:rsidRPr="006F74E5" w:rsidP="00D4403B">
      <w:pPr>
        <w:pStyle w:val="BodyText"/>
      </w:pPr>
      <w:r w:rsidRPr="006F74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94AF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F74E5" w:rsidP="006F74E5"/>
    <w:sectPr w:rsidSect="006F7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E5" w:rsidRPr="00D4403B" w:rsidP="00D440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3B" w:rsidP="006F7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03B" w:rsidP="006F7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403B" w:rsidP="006F7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4E5" w:rsidRPr="00D4403B" w:rsidP="00D440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3B" w:rsidRPr="002D2AF8" w:rsidP="006F7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CHCSOH021 Work with clients within the social housing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4403B" w:rsidP="006F7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54B0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F87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FEDD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4E5"/>
  </w:style>
  <w:style w:type="character" w:customStyle="1" w:styleId="Heading1Char">
    <w:name w:val="Heading 1 Char"/>
    <w:basedOn w:val="DefaultParagraphFont"/>
    <w:link w:val="Heading1"/>
    <w:rsid w:val="006F7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4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74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7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74E5"/>
    <w:rPr>
      <w:b/>
      <w:spacing w:val="0"/>
    </w:rPr>
  </w:style>
  <w:style w:type="paragraph" w:customStyle="1" w:styleId="SuperTitle">
    <w:name w:val="SuperTitle"/>
    <w:basedOn w:val="Title"/>
    <w:rsid w:val="006F7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7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74E5"/>
    <w:rPr>
      <w:i/>
    </w:rPr>
  </w:style>
  <w:style w:type="paragraph" w:styleId="Caption">
    <w:name w:val="caption"/>
    <w:basedOn w:val="BodyText"/>
    <w:next w:val="Normal"/>
    <w:qFormat/>
    <w:rsid w:val="006F7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4E5"/>
  </w:style>
  <w:style w:type="paragraph" w:styleId="TableofFigures">
    <w:name w:val="table of figures"/>
    <w:basedOn w:val="Normal"/>
    <w:next w:val="Normal"/>
    <w:semiHidden/>
    <w:rsid w:val="006F7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4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74E5"/>
    <w:rPr>
      <w:rFonts w:ascii="Wingdings" w:hAnsi="Wingdings"/>
    </w:rPr>
  </w:style>
  <w:style w:type="paragraph" w:customStyle="1" w:styleId="TableHeading">
    <w:name w:val="Table Heading"/>
    <w:basedOn w:val="HeadingBase"/>
    <w:rsid w:val="006F7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4E5"/>
    <w:rPr>
      <w:color w:val="0033CC"/>
      <w:u w:val="none"/>
    </w:rPr>
  </w:style>
  <w:style w:type="paragraph" w:customStyle="1" w:styleId="BodyTextRight">
    <w:name w:val="Body Text Right"/>
    <w:basedOn w:val="BodyText"/>
    <w:rsid w:val="006F7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4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4E5"/>
    <w:rPr>
      <w:sz w:val="32"/>
    </w:rPr>
  </w:style>
  <w:style w:type="paragraph" w:customStyle="1" w:styleId="HeadingProcedure">
    <w:name w:val="Heading Procedure"/>
    <w:basedOn w:val="HeadingBase"/>
    <w:next w:val="Normal"/>
    <w:rsid w:val="006F7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4E5"/>
    <w:pPr>
      <w:spacing w:before="60" w:after="60"/>
    </w:pPr>
  </w:style>
  <w:style w:type="paragraph" w:styleId="ListContinue">
    <w:name w:val="List Continue"/>
    <w:basedOn w:val="List"/>
    <w:rsid w:val="006F74E5"/>
    <w:pPr>
      <w:ind w:firstLine="0"/>
    </w:pPr>
  </w:style>
  <w:style w:type="paragraph" w:customStyle="1" w:styleId="ListNote">
    <w:name w:val="List Note"/>
    <w:basedOn w:val="List"/>
    <w:rsid w:val="006F7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4E5"/>
    <w:rPr>
      <w:rFonts w:ascii="Courier New" w:hAnsi="Courier New"/>
    </w:rPr>
  </w:style>
  <w:style w:type="paragraph" w:customStyle="1" w:styleId="NoteBullet">
    <w:name w:val="Note Bullet"/>
    <w:basedOn w:val="Note"/>
    <w:rsid w:val="006F7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4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7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4E5"/>
    <w:rPr>
      <w:b/>
      <w:smallCaps/>
    </w:rPr>
  </w:style>
  <w:style w:type="paragraph" w:customStyle="1" w:styleId="TableListNumber">
    <w:name w:val="Table List Number"/>
    <w:basedOn w:val="ListNumber"/>
    <w:rsid w:val="006F7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4E5"/>
    <w:pPr>
      <w:numPr>
        <w:numId w:val="9"/>
      </w:numPr>
    </w:pPr>
  </w:style>
  <w:style w:type="paragraph" w:customStyle="1" w:styleId="ListAlpha2">
    <w:name w:val="List Alpha 2"/>
    <w:basedOn w:val="List2"/>
    <w:rsid w:val="006F74E5"/>
    <w:pPr>
      <w:numPr>
        <w:numId w:val="8"/>
      </w:numPr>
    </w:pPr>
  </w:style>
  <w:style w:type="paragraph" w:styleId="List2">
    <w:name w:val="List 2"/>
    <w:basedOn w:val="BodyText"/>
    <w:rsid w:val="006F7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4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4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74E5"/>
    <w:pPr>
      <w:numPr>
        <w:numId w:val="4"/>
      </w:numPr>
    </w:pPr>
  </w:style>
  <w:style w:type="paragraph" w:styleId="ListContinue2">
    <w:name w:val="List Continue 2"/>
    <w:basedOn w:val="List2"/>
    <w:rsid w:val="006F74E5"/>
    <w:pPr>
      <w:ind w:firstLine="0"/>
    </w:pPr>
  </w:style>
  <w:style w:type="paragraph" w:styleId="ListContinue3">
    <w:name w:val="List Continue 3"/>
    <w:basedOn w:val="List3"/>
    <w:rsid w:val="006F74E5"/>
    <w:pPr>
      <w:ind w:left="1021" w:firstLine="0"/>
    </w:pPr>
  </w:style>
  <w:style w:type="paragraph" w:styleId="ListContinue4">
    <w:name w:val="List Continue 4"/>
    <w:basedOn w:val="List4"/>
    <w:rsid w:val="006F74E5"/>
    <w:pPr>
      <w:ind w:firstLine="0"/>
    </w:pPr>
  </w:style>
  <w:style w:type="paragraph" w:styleId="ListContinue5">
    <w:name w:val="List Continue 5"/>
    <w:basedOn w:val="List5"/>
    <w:rsid w:val="006F74E5"/>
    <w:pPr>
      <w:ind w:firstLine="0"/>
    </w:pPr>
  </w:style>
  <w:style w:type="paragraph" w:styleId="ListNumber3">
    <w:name w:val="List Number 3"/>
    <w:basedOn w:val="List3"/>
    <w:rsid w:val="006F74E5"/>
    <w:pPr>
      <w:numPr>
        <w:numId w:val="5"/>
      </w:numPr>
    </w:pPr>
  </w:style>
  <w:style w:type="paragraph" w:styleId="ListNumber4">
    <w:name w:val="List Number 4"/>
    <w:basedOn w:val="List4"/>
    <w:rsid w:val="006F74E5"/>
    <w:pPr>
      <w:numPr>
        <w:numId w:val="6"/>
      </w:numPr>
    </w:pPr>
  </w:style>
  <w:style w:type="paragraph" w:styleId="ListNumber5">
    <w:name w:val="List Number 5"/>
    <w:basedOn w:val="List5"/>
    <w:rsid w:val="006F74E5"/>
    <w:pPr>
      <w:numPr>
        <w:numId w:val="7"/>
      </w:numPr>
    </w:pPr>
  </w:style>
  <w:style w:type="paragraph" w:styleId="BlockText">
    <w:name w:val="Block Text"/>
    <w:basedOn w:val="Normal"/>
    <w:rsid w:val="006F7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4E5"/>
    <w:rPr>
      <w:sz w:val="16"/>
      <w:vertAlign w:val="superscript"/>
    </w:rPr>
  </w:style>
  <w:style w:type="character" w:customStyle="1" w:styleId="Symbols">
    <w:name w:val="Symbols"/>
    <w:basedOn w:val="DefaultParagraphFont"/>
    <w:rsid w:val="006F74E5"/>
    <w:rPr>
      <w:rFonts w:ascii="Symbol" w:hAnsi="Symbol"/>
    </w:rPr>
  </w:style>
  <w:style w:type="character" w:customStyle="1" w:styleId="MenuOptions">
    <w:name w:val="Menu Options"/>
    <w:basedOn w:val="DefaultParagraphFont"/>
    <w:rsid w:val="006F7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4E5"/>
    <w:rPr>
      <w:b/>
    </w:rPr>
  </w:style>
  <w:style w:type="character" w:customStyle="1" w:styleId="Underlined">
    <w:name w:val="Underlined"/>
    <w:basedOn w:val="DefaultParagraphFont"/>
    <w:rsid w:val="006F74E5"/>
    <w:rPr>
      <w:u w:val="single"/>
    </w:rPr>
  </w:style>
  <w:style w:type="paragraph" w:customStyle="1" w:styleId="TableBodyTextRight">
    <w:name w:val="Table Body Text Right"/>
    <w:basedOn w:val="TableBodyText"/>
    <w:rsid w:val="006F7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4E5"/>
    <w:rPr>
      <w:sz w:val="18"/>
    </w:rPr>
  </w:style>
  <w:style w:type="paragraph" w:customStyle="1" w:styleId="BodySmallRight">
    <w:name w:val="Body Small Right"/>
    <w:basedOn w:val="BodyTextRight"/>
    <w:rsid w:val="006F74E5"/>
    <w:rPr>
      <w:sz w:val="18"/>
      <w:szCs w:val="18"/>
    </w:rPr>
  </w:style>
  <w:style w:type="paragraph" w:customStyle="1" w:styleId="MarginEdition">
    <w:name w:val="Margin Edition"/>
    <w:basedOn w:val="MarginNote"/>
    <w:rsid w:val="006F7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4E5"/>
    <w:rPr>
      <w:sz w:val="2"/>
      <w:szCs w:val="2"/>
    </w:rPr>
  </w:style>
  <w:style w:type="character" w:customStyle="1" w:styleId="Small">
    <w:name w:val="Small"/>
    <w:basedOn w:val="DefaultParagraphFont"/>
    <w:rsid w:val="006F74E5"/>
    <w:rPr>
      <w:sz w:val="16"/>
    </w:rPr>
  </w:style>
  <w:style w:type="paragraph" w:customStyle="1" w:styleId="WideTable">
    <w:name w:val="Wide Table"/>
    <w:basedOn w:val="Normal"/>
    <w:rsid w:val="006F7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4E5"/>
  </w:style>
  <w:style w:type="paragraph" w:styleId="Quote">
    <w:name w:val="Quote"/>
    <w:basedOn w:val="Heading1"/>
    <w:link w:val="QuoteChar"/>
    <w:qFormat/>
    <w:rsid w:val="006F7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4E5"/>
    <w:pPr>
      <w:pageBreakBefore/>
    </w:pPr>
  </w:style>
  <w:style w:type="paragraph" w:customStyle="1" w:styleId="Border">
    <w:name w:val="Border"/>
    <w:basedOn w:val="Normal"/>
    <w:qFormat/>
    <w:rsid w:val="006F7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4E5"/>
    <w:rPr>
      <w:u w:val="single"/>
    </w:rPr>
  </w:style>
  <w:style w:type="character" w:customStyle="1" w:styleId="BoldandItalics">
    <w:name w:val="Bold and Italics"/>
    <w:qFormat/>
    <w:rsid w:val="006F74E5"/>
    <w:rPr>
      <w:b/>
      <w:i/>
      <w:u w:val="none"/>
    </w:rPr>
  </w:style>
  <w:style w:type="paragraph" w:styleId="BalloonText">
    <w:name w:val="Balloon Text"/>
    <w:basedOn w:val="Normal"/>
    <w:link w:val="BalloonTextChar"/>
    <w:rsid w:val="006F7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4E5"/>
    <w:pPr>
      <w:spacing w:before="0" w:after="0"/>
    </w:pPr>
  </w:style>
  <w:style w:type="paragraph" w:customStyle="1" w:styleId="BodyTextBold">
    <w:name w:val="Body Text Bold"/>
    <w:basedOn w:val="BodyText"/>
    <w:qFormat/>
    <w:rsid w:val="006F74E5"/>
    <w:rPr>
      <w:b/>
    </w:rPr>
  </w:style>
  <w:style w:type="character" w:styleId="Hyperlink">
    <w:name w:val="Hyperlink"/>
    <w:basedOn w:val="DefaultParagraphFont"/>
    <w:uiPriority w:val="99"/>
    <w:unhideWhenUsed/>
    <w:rsid w:val="00D440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3140</Characters>
  <Application>Microsoft Office Word</Application>
  <DocSecurity>0</DocSecurity>
  <Lines>89</Lines>
  <Paragraphs>77</Paragraphs>
  <ScaleCrop>false</ScaleCrop>
  <Company>Author-it Software Corporation Ltd.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CHCSOH021 Work with clients within the social housing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