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0E9" w:rsidP="00C70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CHCSOH016 Manage tenancy rent and rental arrears</w:t>
      </w:r>
      <w:r>
        <w:fldChar w:fldCharType="end"/>
      </w:r>
    </w:p>
    <w:p w:rsidR="00C700E9" w:rsidP="00C700E9">
      <w:pPr>
        <w:pStyle w:val="Version"/>
        <w:sectPr w:rsidSect="00F24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75B" w:rsidP="00F2475B">
      <w:pPr>
        <w:pStyle w:val="SuperHeading"/>
      </w:pPr>
      <w:r w:rsidRPr="00F2475B">
        <w:t>CHCSOH016 Manage tenancy rent and rental arrears</w:t>
      </w:r>
    </w:p>
    <w:p w:rsidR="00000000" w:rsidRPr="00F2475B" w:rsidP="00F2475B">
      <w:pPr>
        <w:pStyle w:val="Heading1"/>
      </w:pPr>
      <w:bookmarkStart w:id="1" w:name="O_1181223"/>
      <w:bookmarkEnd w:id="1"/>
      <w:r w:rsidRPr="00F2475B">
        <w:t>Modification History</w:t>
      </w:r>
    </w:p>
    <w:p w:rsidR="00000000" w:rsidRPr="00F2475B" w:rsidP="00C700E9">
      <w:pPr>
        <w:pStyle w:val="BodyText"/>
      </w:pPr>
      <w:r w:rsidRPr="00F2475B">
        <w:t>Release 1. CHCSOH016 Manage tenancy rent and rental arrears supersedes and is not equivalent to CHCSOH005 Manage tenancy rent and rental arrears.</w:t>
      </w:r>
    </w:p>
    <w:p w:rsidR="00000000" w:rsidRPr="00F2475B" w:rsidP="00F2475B">
      <w:pPr>
        <w:pStyle w:val="Heading1"/>
      </w:pPr>
      <w:bookmarkStart w:id="2" w:name="O_1181224"/>
      <w:bookmarkEnd w:id="2"/>
      <w:r w:rsidRPr="00F2475B">
        <w:t>Application</w:t>
      </w:r>
    </w:p>
    <w:p w:rsidR="00000000" w:rsidRPr="00F2475B" w:rsidP="00C700E9">
      <w:pPr>
        <w:pStyle w:val="BodyText"/>
      </w:pPr>
      <w:r w:rsidRPr="00F2475B">
        <w:t>This unit describes the performance outcomes, kno</w:t>
      </w:r>
      <w:r w:rsidRPr="00F2475B">
        <w:t xml:space="preserve">wledge and skills required to manage all aspects of tenancy rent and rental arrears. </w:t>
      </w:r>
    </w:p>
    <w:p w:rsidR="00000000" w:rsidRPr="00F2475B" w:rsidP="00C700E9">
      <w:pPr>
        <w:pStyle w:val="BodyText"/>
      </w:pPr>
      <w:r w:rsidRPr="00F2475B">
        <w:t>This unit applies to individuals who work in a social housing context. Workers exercise judgement and sensitivity when working with clients within clearly defined process</w:t>
      </w:r>
      <w:r w:rsidRPr="00F2475B">
        <w:t xml:space="preserve">es and procedures.  </w:t>
      </w:r>
    </w:p>
    <w:p w:rsidR="00000000" w:rsidRPr="00F2475B" w:rsidP="00C700E9">
      <w:pPr>
        <w:pStyle w:val="BodyText"/>
      </w:pPr>
      <w:r w:rsidRPr="00F2475B">
        <w:t>The skills in this unit must be applied in accordance with Commonwealth and State/Territory legislation, Australian standards and industry codes of practice.</w:t>
      </w:r>
    </w:p>
    <w:p w:rsidR="00000000" w:rsidRPr="00F2475B" w:rsidP="00C700E9">
      <w:pPr>
        <w:pStyle w:val="BodyText"/>
      </w:pPr>
      <w:r w:rsidRPr="00F2475B">
        <w:t>No occupational licensing, certification or specific legislative requirements</w:t>
      </w:r>
      <w:r w:rsidRPr="00F2475B">
        <w:t xml:space="preserve"> apply to this unit at the time of publication.</w:t>
      </w:r>
    </w:p>
    <w:p w:rsidR="00000000" w:rsidRPr="00F2475B" w:rsidP="00F2475B">
      <w:pPr>
        <w:pStyle w:val="Heading1"/>
      </w:pPr>
      <w:bookmarkStart w:id="3" w:name="O_1181225"/>
      <w:bookmarkEnd w:id="3"/>
      <w:r w:rsidRPr="00F2475B">
        <w:t>Pre-requisite Unit</w:t>
      </w:r>
    </w:p>
    <w:p w:rsidR="00000000" w:rsidRPr="00F2475B" w:rsidP="00C700E9">
      <w:pPr>
        <w:pStyle w:val="BodyText"/>
      </w:pPr>
      <w:r w:rsidRPr="00F2475B">
        <w:t>Nil</w:t>
      </w:r>
    </w:p>
    <w:p w:rsidR="00000000" w:rsidRPr="00F2475B" w:rsidP="00F2475B">
      <w:pPr>
        <w:pStyle w:val="Heading1"/>
      </w:pPr>
      <w:bookmarkStart w:id="4" w:name="O_1181226"/>
      <w:bookmarkEnd w:id="4"/>
      <w:r w:rsidRPr="00F2475B">
        <w:t>Competency Field</w:t>
      </w:r>
    </w:p>
    <w:p w:rsidR="00000000" w:rsidRPr="00F2475B" w:rsidP="00C700E9">
      <w:pPr>
        <w:pStyle w:val="BodyText"/>
      </w:pPr>
      <w:r w:rsidRPr="00F2475B">
        <w:t xml:space="preserve">Social Housing </w:t>
      </w:r>
    </w:p>
    <w:p w:rsidR="00000000" w:rsidRPr="00F2475B" w:rsidP="00F2475B">
      <w:pPr>
        <w:pStyle w:val="Heading1"/>
      </w:pPr>
      <w:bookmarkStart w:id="5" w:name="O_1181227"/>
      <w:bookmarkEnd w:id="5"/>
      <w:r w:rsidRPr="00F2475B">
        <w:t>Unit Sector</w:t>
      </w:r>
    </w:p>
    <w:p w:rsidR="00000000" w:rsidRPr="00F2475B" w:rsidP="00C700E9">
      <w:pPr>
        <w:pStyle w:val="BodyText"/>
      </w:pPr>
      <w:r w:rsidRPr="00F2475B">
        <w:t>Community Services</w:t>
      </w:r>
    </w:p>
    <w:p w:rsidR="00000000" w:rsidRPr="00F2475B" w:rsidP="00F2475B">
      <w:pPr>
        <w:pStyle w:val="Heading1"/>
      </w:pPr>
      <w:bookmarkStart w:id="6" w:name="O_1181228"/>
      <w:bookmarkEnd w:id="6"/>
      <w:r w:rsidRPr="00F247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4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75B" w:rsidP="00F2475B">
            <w:pPr>
              <w:pStyle w:val="BodyText"/>
            </w:pPr>
            <w:r w:rsidRPr="00F247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75B">
            <w:pPr>
              <w:pStyle w:val="BodyText"/>
              <w:rPr>
                <w:lang w:val="en-NZ"/>
              </w:rPr>
            </w:pPr>
            <w:r w:rsidRPr="00F2475B">
              <w:rPr>
                <w:rStyle w:val="SpecialBold"/>
              </w:rPr>
              <w:t>PE</w:t>
            </w:r>
            <w:r w:rsidRPr="00F2475B">
              <w:rPr>
                <w:rStyle w:val="SpecialBold"/>
              </w:rPr>
              <w:t>RFORMANCE</w:t>
            </w:r>
            <w:r w:rsidRPr="00F2475B">
              <w:t xml:space="preserve"> </w:t>
            </w:r>
            <w:r w:rsidRPr="00F2475B">
              <w:rPr>
                <w:rStyle w:val="SpecialBold"/>
              </w:rPr>
              <w:t>CRITERIA</w:t>
            </w:r>
          </w:p>
        </w:tc>
      </w:tr>
      <w:tr w:rsidTr="00F24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75B" w:rsidP="00F2475B">
            <w:pPr>
              <w:pStyle w:val="BodyText"/>
            </w:pPr>
            <w:r w:rsidRPr="00F247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75B">
            <w:pPr>
              <w:pStyle w:val="BodyText"/>
              <w:rPr>
                <w:lang w:val="en-NZ"/>
              </w:rPr>
            </w:pPr>
            <w:r w:rsidRPr="00F247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4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75B">
            <w:pPr>
              <w:pStyle w:val="List"/>
              <w:rPr>
                <w:lang w:val="en-NZ"/>
              </w:rPr>
            </w:pPr>
            <w:r w:rsidRPr="00F2475B">
              <w:t>1.  Manage rent.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75B" w:rsidP="00F2475B">
            <w:pPr>
              <w:pStyle w:val="List"/>
            </w:pPr>
            <w:r w:rsidRPr="00F2475B">
              <w:t>1.1. Calculate rent and other charges according to organisational policies and procedures and using rental management computer system.</w:t>
            </w:r>
          </w:p>
          <w:p w:rsidR="00000000" w:rsidRPr="00F2475B" w:rsidP="00F2475B">
            <w:pPr>
              <w:pStyle w:val="List"/>
            </w:pPr>
            <w:r w:rsidRPr="00F2475B">
              <w:t xml:space="preserve">1.2. Conduct rent reviews according to organisational policies </w:t>
            </w:r>
            <w:r w:rsidRPr="00F2475B">
              <w:t xml:space="preserve">and procedures and legislative requirements. </w:t>
            </w:r>
          </w:p>
          <w:p w:rsidR="00000000" w:rsidRPr="00F2475B" w:rsidP="00F2475B">
            <w:pPr>
              <w:pStyle w:val="List"/>
            </w:pPr>
            <w:r w:rsidRPr="00F2475B">
              <w:t>1.3. Discuss</w:t>
            </w:r>
            <w:r w:rsidRPr="00F2475B">
              <w:t xml:space="preserve"> rent calculations and rent reviews with tenants and relevant parties. </w:t>
            </w:r>
          </w:p>
          <w:p w:rsidR="00000000" w:rsidP="00F2475B">
            <w:pPr>
              <w:pStyle w:val="List"/>
              <w:rPr>
                <w:lang w:val="en-NZ"/>
              </w:rPr>
            </w:pPr>
            <w:r w:rsidRPr="00F2475B">
              <w:t>1.4. Document actions according to role and organisational requirements.</w:t>
            </w:r>
          </w:p>
        </w:tc>
      </w:tr>
      <w:tr w:rsidTr="00F24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75B">
            <w:pPr>
              <w:pStyle w:val="List"/>
              <w:rPr>
                <w:lang w:val="en-NZ"/>
              </w:rPr>
            </w:pPr>
            <w:r w:rsidRPr="00F2475B">
              <w:t>2.  Manage arrears and tenant debt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75B" w:rsidP="00F2475B">
            <w:pPr>
              <w:pStyle w:val="List"/>
            </w:pPr>
            <w:r w:rsidRPr="00F2475B">
              <w:t>2.1. Reconcile and prioritise accounts taking into consideration pending adjustments.</w:t>
            </w:r>
          </w:p>
          <w:p w:rsidR="00000000" w:rsidRPr="00F2475B" w:rsidP="00F2475B">
            <w:pPr>
              <w:pStyle w:val="List"/>
            </w:pPr>
            <w:r w:rsidRPr="00F2475B">
              <w:t>2.2. Apply early intervention strategies to maximise sustainability of tenancies prior to consideration of termination procedures.</w:t>
            </w:r>
          </w:p>
          <w:p w:rsidR="00000000" w:rsidRPr="00F2475B" w:rsidP="00F2475B">
            <w:pPr>
              <w:pStyle w:val="List"/>
            </w:pPr>
            <w:r w:rsidRPr="00F2475B">
              <w:t>2.3. Complete arrears and tenant debt r</w:t>
            </w:r>
            <w:r w:rsidRPr="00F2475B">
              <w:t xml:space="preserve">eports with sufficient information to support further action. </w:t>
            </w:r>
          </w:p>
          <w:p w:rsidR="00000000" w:rsidP="00F2475B">
            <w:pPr>
              <w:pStyle w:val="List"/>
              <w:rPr>
                <w:lang w:val="en-NZ"/>
              </w:rPr>
            </w:pPr>
            <w:r w:rsidRPr="00F2475B">
              <w:t>2.4. Review and manage systems generated arrears and debt communication to tenant.</w:t>
            </w:r>
          </w:p>
        </w:tc>
      </w:tr>
      <w:tr w:rsidTr="00F24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75B">
            <w:pPr>
              <w:pStyle w:val="List"/>
              <w:rPr>
                <w:lang w:val="en-NZ"/>
              </w:rPr>
            </w:pPr>
            <w:r w:rsidRPr="00F2475B">
              <w:t>3.   Review client payment history and initiate recovery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75B" w:rsidP="00F2475B">
            <w:pPr>
              <w:pStyle w:val="List"/>
            </w:pPr>
            <w:r w:rsidRPr="00F2475B">
              <w:t>3.1. Access and review rental account and te</w:t>
            </w:r>
            <w:r w:rsidRPr="00F2475B">
              <w:t>nant charge systems to gather information on client payment history.</w:t>
            </w:r>
          </w:p>
          <w:p w:rsidR="00000000" w:rsidRPr="00F2475B" w:rsidP="00F2475B">
            <w:pPr>
              <w:pStyle w:val="List"/>
            </w:pPr>
            <w:r w:rsidRPr="00F2475B">
              <w:t xml:space="preserve">3.2. Carry out recovery actions on accounts in arrears according to organisational requirements. </w:t>
            </w:r>
          </w:p>
          <w:p w:rsidR="00000000" w:rsidRPr="00F2475B" w:rsidP="00F2475B">
            <w:pPr>
              <w:pStyle w:val="List"/>
            </w:pPr>
            <w:r w:rsidRPr="00F2475B">
              <w:t>3.3. Provide referrals to help client with their financial situation.</w:t>
            </w:r>
          </w:p>
          <w:p w:rsidR="00000000" w:rsidRPr="00F2475B" w:rsidP="00F2475B">
            <w:pPr>
              <w:pStyle w:val="List"/>
            </w:pPr>
            <w:r w:rsidRPr="00F2475B">
              <w:t>3.4. Monitor client</w:t>
            </w:r>
            <w:r w:rsidRPr="00F2475B">
              <w:t xml:space="preserve"> offer to repay arrears and debts.</w:t>
            </w:r>
          </w:p>
        </w:tc>
      </w:tr>
    </w:tbl>
    <w:p w:rsidR="00C700E9" w:rsidP="00F2475B">
      <w:pPr>
        <w:pStyle w:val="List"/>
      </w:pPr>
    </w:p>
    <w:p w:rsidR="00C700E9" w:rsidP="00F2475B">
      <w:pPr>
        <w:pStyle w:val="List"/>
      </w:pPr>
    </w:p>
    <w:p w:rsidR="00000000" w:rsidRPr="00F2475B" w:rsidP="00F2475B">
      <w:pPr>
        <w:pStyle w:val="Heading1"/>
      </w:pPr>
      <w:bookmarkStart w:id="7" w:name="O_1181229"/>
      <w:bookmarkEnd w:id="7"/>
      <w:r w:rsidRPr="00F2475B">
        <w:t>Foundation Skills</w:t>
      </w:r>
    </w:p>
    <w:p w:rsidR="00000000" w:rsidRPr="00F2475B" w:rsidP="00C700E9">
      <w:pPr>
        <w:pStyle w:val="BodyText"/>
      </w:pPr>
      <w:r w:rsidRPr="00F2475B">
        <w:t>Foundation skills essential to performance are explicit in the performance criteria of this unit of competency.</w:t>
      </w:r>
    </w:p>
    <w:p w:rsidR="00000000" w:rsidRPr="00F2475B" w:rsidP="00F2475B">
      <w:pPr>
        <w:pStyle w:val="Heading1"/>
      </w:pPr>
      <w:bookmarkStart w:id="8" w:name="O_1181231"/>
      <w:bookmarkEnd w:id="8"/>
      <w:r w:rsidRPr="00F2475B">
        <w:t>Unit Mapping Information</w:t>
      </w:r>
    </w:p>
    <w:p w:rsidR="00000000" w:rsidRPr="00F2475B" w:rsidP="00C700E9">
      <w:pPr>
        <w:pStyle w:val="BodyText"/>
      </w:pPr>
      <w:r w:rsidRPr="00F2475B">
        <w:t>Release 1. CHCSOH016 Manage tenancy rent and rental arrears supersedes and is not equivalent to CHCSOH005 Manage tenancy rent and rental arrears.</w:t>
      </w:r>
    </w:p>
    <w:p w:rsidR="00000000" w:rsidRPr="00F2475B" w:rsidP="00F2475B">
      <w:pPr>
        <w:pStyle w:val="Heading1"/>
      </w:pPr>
      <w:bookmarkStart w:id="9" w:name="O_1181238"/>
      <w:bookmarkEnd w:id="9"/>
      <w:r w:rsidRPr="00F2475B">
        <w:t>Links</w:t>
      </w:r>
    </w:p>
    <w:p w:rsidR="00000000" w:rsidRPr="00F2475B" w:rsidP="00C700E9">
      <w:pPr>
        <w:pStyle w:val="BodyText"/>
      </w:pPr>
      <w:r w:rsidRPr="00F24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06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475B" w:rsidP="00C700E9">
      <w:pPr>
        <w:pStyle w:val="BodyText"/>
        <w:sectPr w:rsidSect="00F247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75B" w:rsidP="00F2475B">
      <w:pPr>
        <w:pStyle w:val="SuperHeading"/>
      </w:pPr>
      <w:r w:rsidRPr="00F2475B">
        <w:t>Assessment Requirements for CHCSOH016 Manage tenancy rent and rental arrears</w:t>
      </w:r>
    </w:p>
    <w:p w:rsidR="00000000" w:rsidRPr="00F2475B" w:rsidP="00F2475B">
      <w:pPr>
        <w:pStyle w:val="Heading1"/>
      </w:pPr>
      <w:bookmarkStart w:id="10" w:name="O_1181233"/>
      <w:bookmarkEnd w:id="10"/>
      <w:r w:rsidRPr="00F2475B">
        <w:t>Modification History</w:t>
      </w:r>
    </w:p>
    <w:p w:rsidR="00000000" w:rsidRPr="00F2475B" w:rsidP="00C700E9">
      <w:pPr>
        <w:pStyle w:val="BodyText"/>
      </w:pPr>
      <w:r w:rsidRPr="00F2475B">
        <w:t>Release 1. CHCSOH016 Manage tena</w:t>
      </w:r>
      <w:r w:rsidRPr="00F2475B">
        <w:t>ncy rent and rental arrears supersedes and is not equivalent to CHCSOH005 Manage tenancy rent and rental arrears.</w:t>
      </w:r>
    </w:p>
    <w:p w:rsidR="00000000" w:rsidRPr="00F2475B" w:rsidP="00F2475B">
      <w:pPr>
        <w:pStyle w:val="Heading1"/>
      </w:pPr>
      <w:bookmarkStart w:id="11" w:name="O_1181234"/>
      <w:bookmarkEnd w:id="11"/>
      <w:r w:rsidRPr="00F2475B">
        <w:t>Performance Evidence</w:t>
      </w:r>
    </w:p>
    <w:p w:rsidR="00000000" w:rsidRPr="00F2475B" w:rsidP="00C700E9">
      <w:pPr>
        <w:pStyle w:val="BodyText"/>
      </w:pPr>
      <w:r w:rsidRPr="00F2475B">
        <w:t>Evidence of the ability to complete tasks outlined in elements and performance criteria of this unit in the context of the job role, and:</w:t>
      </w:r>
    </w:p>
    <w:p w:rsidR="00000000" w:rsidRPr="00F2475B" w:rsidP="00F2475B">
      <w:pPr>
        <w:pStyle w:val="ListBullet"/>
      </w:pPr>
      <w:r w:rsidRPr="00F2475B">
        <w:t>manage tenancy rent and rental arrears for one client.</w:t>
      </w:r>
    </w:p>
    <w:p w:rsidR="00000000" w:rsidRPr="00F2475B" w:rsidP="00F2475B">
      <w:pPr>
        <w:pStyle w:val="AllowPageBreak"/>
      </w:pPr>
    </w:p>
    <w:p w:rsidR="00000000" w:rsidRPr="00F2475B" w:rsidP="00F2475B">
      <w:pPr>
        <w:pStyle w:val="Heading1"/>
      </w:pPr>
      <w:bookmarkStart w:id="12" w:name="O_1181235"/>
      <w:bookmarkEnd w:id="12"/>
      <w:r w:rsidRPr="00F2475B">
        <w:t>Knowledge Evidence</w:t>
      </w:r>
    </w:p>
    <w:p w:rsidR="00000000" w:rsidRPr="00F2475B" w:rsidP="00C700E9">
      <w:pPr>
        <w:pStyle w:val="BodyText"/>
      </w:pPr>
      <w:r w:rsidRPr="00F2475B">
        <w:t>Demonstrated knowledge required to complete the tasks outlined in elements and performance criteria of this unit:</w:t>
      </w:r>
    </w:p>
    <w:p w:rsidR="00000000" w:rsidRPr="00F2475B" w:rsidP="00F2475B">
      <w:pPr>
        <w:pStyle w:val="ListBullet"/>
      </w:pPr>
      <w:r w:rsidRPr="00F2475B">
        <w:t>key elements of rental management and rent arrears management</w:t>
      </w:r>
    </w:p>
    <w:p w:rsidR="00000000" w:rsidRPr="00F2475B" w:rsidP="00F2475B">
      <w:pPr>
        <w:pStyle w:val="ListBullet"/>
      </w:pPr>
      <w:r w:rsidRPr="00F2475B">
        <w:t>referral options to help clients with their financial situation:</w:t>
      </w:r>
    </w:p>
    <w:p w:rsidR="00000000" w:rsidRPr="00F2475B" w:rsidP="00F2475B">
      <w:pPr>
        <w:pStyle w:val="ListBullet2"/>
      </w:pPr>
      <w:r w:rsidRPr="00F2475B">
        <w:t>charities off</w:t>
      </w:r>
      <w:r w:rsidRPr="00F2475B">
        <w:t>ering brokerage services</w:t>
      </w:r>
    </w:p>
    <w:p w:rsidR="00000000" w:rsidRPr="00F2475B" w:rsidP="00F2475B">
      <w:pPr>
        <w:pStyle w:val="ListBullet2"/>
      </w:pPr>
      <w:r w:rsidRPr="00F2475B">
        <w:t>community legal centres offering financial counselling, energy and food vouchers</w:t>
      </w:r>
    </w:p>
    <w:p w:rsidR="00000000" w:rsidRPr="00F2475B" w:rsidP="00F2475B">
      <w:pPr>
        <w:pStyle w:val="ListBullet"/>
      </w:pPr>
      <w:r w:rsidRPr="00F2475B">
        <w:t>principles for sustaining tenancies and early intervention strategies</w:t>
      </w:r>
    </w:p>
    <w:p w:rsidR="00000000" w:rsidRPr="00F2475B" w:rsidP="00F2475B">
      <w:pPr>
        <w:pStyle w:val="ListBullet"/>
      </w:pPr>
      <w:r w:rsidRPr="00F2475B">
        <w:t>indicators of tenant rent payment difficulties</w:t>
      </w:r>
    </w:p>
    <w:p w:rsidR="00000000" w:rsidRPr="00F2475B" w:rsidP="00F2475B">
      <w:pPr>
        <w:pStyle w:val="ListBullet"/>
      </w:pPr>
      <w:r w:rsidRPr="00F2475B">
        <w:t>factors related to communicating</w:t>
      </w:r>
      <w:r w:rsidRPr="00F2475B">
        <w:t xml:space="preserve"> with tenants in relation to rental management</w:t>
      </w:r>
    </w:p>
    <w:p w:rsidR="00000000" w:rsidRPr="00F2475B" w:rsidP="00F2475B">
      <w:pPr>
        <w:pStyle w:val="ListBullet"/>
      </w:pPr>
      <w:r w:rsidRPr="00F2475B">
        <w:t>mediation and dispute resolution principles and techniques</w:t>
      </w:r>
    </w:p>
    <w:p w:rsidR="00000000" w:rsidRPr="00F2475B" w:rsidP="00F2475B">
      <w:pPr>
        <w:pStyle w:val="ListBullet"/>
      </w:pPr>
      <w:r w:rsidRPr="00F2475B">
        <w:t>rental account system and its operation within the organisation</w:t>
      </w:r>
    </w:p>
    <w:p w:rsidR="00000000" w:rsidRPr="00F2475B" w:rsidP="00F2475B">
      <w:pPr>
        <w:pStyle w:val="ListBullet"/>
      </w:pPr>
      <w:r w:rsidRPr="00F2475B">
        <w:t>computer systems used in the organisation for rental management</w:t>
      </w:r>
    </w:p>
    <w:p w:rsidR="00000000" w:rsidRPr="00F2475B" w:rsidP="00F2475B">
      <w:pPr>
        <w:pStyle w:val="ListBullet"/>
      </w:pPr>
      <w:r w:rsidRPr="00F2475B">
        <w:t>client confidentiality</w:t>
      </w:r>
    </w:p>
    <w:p w:rsidR="00000000" w:rsidRPr="00F2475B" w:rsidP="00F2475B">
      <w:pPr>
        <w:pStyle w:val="ListBullet"/>
      </w:pPr>
      <w:r w:rsidRPr="00F2475B">
        <w:t>eviction procedures</w:t>
      </w:r>
    </w:p>
    <w:p w:rsidR="00000000" w:rsidRPr="00F2475B" w:rsidP="00F2475B">
      <w:pPr>
        <w:pStyle w:val="ListBullet"/>
      </w:pPr>
      <w:r w:rsidRPr="00F2475B">
        <w:t>legal requirements in relation to termination of tenancies</w:t>
      </w:r>
    </w:p>
    <w:p w:rsidR="00000000" w:rsidRPr="00F2475B" w:rsidP="00F2475B">
      <w:pPr>
        <w:pStyle w:val="ListBullet"/>
      </w:pPr>
      <w:r w:rsidRPr="00F2475B">
        <w:t>techniques for calculating rent and other charges.</w:t>
      </w:r>
    </w:p>
    <w:p w:rsidR="00000000" w:rsidRPr="00F2475B" w:rsidP="00F2475B">
      <w:pPr>
        <w:pStyle w:val="AllowPageBreak"/>
      </w:pPr>
    </w:p>
    <w:p w:rsidR="00000000" w:rsidRPr="00F2475B" w:rsidP="00F2475B">
      <w:pPr>
        <w:pStyle w:val="Heading1"/>
      </w:pPr>
      <w:bookmarkStart w:id="13" w:name="O_1181236"/>
      <w:bookmarkEnd w:id="13"/>
      <w:r w:rsidRPr="00F2475B">
        <w:t>Assessment Conditions</w:t>
      </w:r>
    </w:p>
    <w:p w:rsidR="00000000" w:rsidRPr="00F2475B" w:rsidP="00C700E9">
      <w:pPr>
        <w:pStyle w:val="BodyText"/>
      </w:pPr>
      <w:r w:rsidRPr="00F2475B">
        <w:t>Skills must be demonstrated in the workplace or in a simulated environment that refl</w:t>
      </w:r>
      <w:r w:rsidRPr="00F2475B">
        <w:t>ects workplace conditions.</w:t>
      </w:r>
    </w:p>
    <w:p w:rsidR="00000000" w:rsidRPr="00F2475B" w:rsidP="00C700E9">
      <w:pPr>
        <w:pStyle w:val="BodyText"/>
      </w:pPr>
      <w:r w:rsidRPr="00F2475B">
        <w:t>Assessment must ensure:</w:t>
      </w:r>
    </w:p>
    <w:p w:rsidR="00000000" w:rsidRPr="00F2475B" w:rsidP="00F2475B">
      <w:pPr>
        <w:pStyle w:val="ListBullet"/>
      </w:pPr>
      <w:r w:rsidRPr="00F2475B">
        <w:t>access to suitable facilities, equipment and resources that reflect real working conditions and model industry operating conditions and contingencies</w:t>
      </w:r>
    </w:p>
    <w:p w:rsidR="00000000" w:rsidRPr="00F2475B" w:rsidP="00F2475B">
      <w:pPr>
        <w:pStyle w:val="ListBullet"/>
      </w:pPr>
      <w:r w:rsidRPr="00F2475B">
        <w:t>access to organisational policies and procedures</w:t>
      </w:r>
    </w:p>
    <w:p w:rsidR="00000000" w:rsidRPr="00F2475B" w:rsidP="00F2475B">
      <w:pPr>
        <w:pStyle w:val="ListBullet"/>
      </w:pPr>
      <w:r w:rsidRPr="00F2475B">
        <w:t>acces</w:t>
      </w:r>
      <w:r w:rsidRPr="00F2475B">
        <w:t>s to rental management computer system</w:t>
      </w:r>
    </w:p>
    <w:p w:rsidR="00000000" w:rsidRPr="00F2475B" w:rsidP="00F2475B">
      <w:pPr>
        <w:pStyle w:val="ListBullet"/>
      </w:pPr>
      <w:r w:rsidRPr="00F2475B">
        <w:t>opportunities for engagement with clients.</w:t>
      </w:r>
    </w:p>
    <w:p w:rsidR="00000000" w:rsidRPr="00F2475B" w:rsidP="00C700E9">
      <w:pPr>
        <w:pStyle w:val="BodyText"/>
      </w:pPr>
      <w:r w:rsidRPr="00F2475B">
        <w:t>Assessors must satisfy the Standards for Registered Training Organisations’ requirements for assessors.</w:t>
      </w:r>
    </w:p>
    <w:p w:rsidR="00000000" w:rsidRPr="00F2475B" w:rsidP="00F2475B">
      <w:pPr>
        <w:pStyle w:val="Heading1"/>
      </w:pPr>
      <w:bookmarkStart w:id="14" w:name="O_1181239"/>
      <w:bookmarkEnd w:id="14"/>
      <w:r w:rsidRPr="00F2475B">
        <w:t>Links</w:t>
      </w:r>
    </w:p>
    <w:p w:rsidR="00000000" w:rsidRPr="00F2475B" w:rsidP="00C700E9">
      <w:pPr>
        <w:pStyle w:val="BodyText"/>
      </w:pPr>
      <w:r w:rsidRPr="00F2475B">
        <w:t>Companion Volume implementation guides are fo</w:t>
      </w:r>
      <w:r w:rsidRPr="00F2475B">
        <w:t xml:space="preserve">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06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475B" w:rsidP="00F2475B"/>
    <w:sectPr w:rsidSect="00F247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 w:rsidRPr="00C700E9" w:rsidP="00C70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E9" w:rsidP="00F24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0E9" w:rsidP="00F24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700E9" w:rsidP="00F247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 w:rsidP="00F24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00E9">
      <w:t>Approved</w:t>
    </w:r>
    <w:r w:rsidR="00C700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00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00E9">
      <w:rPr>
        <w:noProof/>
      </w:rPr>
      <w:t>4</w:t>
    </w:r>
    <w:r>
      <w:rPr>
        <w:noProof/>
      </w:rPr>
      <w:fldChar w:fldCharType="end"/>
    </w:r>
  </w:p>
  <w:p w:rsidR="00F2475B" w:rsidP="00F24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00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00E9">
      <w:t>HumanAbility</w:t>
    </w:r>
    <w:r w:rsidR="00C700E9">
      <w:fldChar w:fldCharType="end"/>
    </w:r>
  </w:p>
  <w:p w:rsidR="00F2475B" w:rsidP="00F24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75B" w:rsidRPr="00C700E9" w:rsidP="00C70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E9" w:rsidRPr="002D2AF8" w:rsidP="00F24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CHCSOH016 Manage tenancy rent and rental arrears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00E9" w:rsidP="00F247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5B" w:rsidRPr="002D2AF8" w:rsidP="00F24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00E9">
      <w:t>CHCSOH016 Manage tenancy rent and rental arrears</w:t>
    </w:r>
    <w:r w:rsidR="00C700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00E9">
      <w:rPr>
        <w:noProof/>
      </w:rPr>
      <w:t>2 March 2025</w:t>
    </w:r>
    <w:r>
      <w:fldChar w:fldCharType="end"/>
    </w:r>
  </w:p>
  <w:p w:rsidR="00F2475B" w:rsidP="00F24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147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984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8A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75B"/>
  </w:style>
  <w:style w:type="character" w:customStyle="1" w:styleId="Heading1Char">
    <w:name w:val="Heading 1 Char"/>
    <w:basedOn w:val="DefaultParagraphFont"/>
    <w:link w:val="Heading1"/>
    <w:rsid w:val="00F24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7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47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47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75B"/>
    <w:rPr>
      <w:b/>
      <w:spacing w:val="0"/>
    </w:rPr>
  </w:style>
  <w:style w:type="paragraph" w:styleId="ListBullet2">
    <w:name w:val="List Bullet 2"/>
    <w:basedOn w:val="List2"/>
    <w:rsid w:val="00F247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75B"/>
    <w:rPr>
      <w:i/>
    </w:rPr>
  </w:style>
  <w:style w:type="paragraph" w:customStyle="1" w:styleId="SuperHeading">
    <w:name w:val="SuperHeading"/>
    <w:basedOn w:val="Normal"/>
    <w:rsid w:val="00F24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7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4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7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75B"/>
  </w:style>
  <w:style w:type="paragraph" w:styleId="TableofFigures">
    <w:name w:val="table of figures"/>
    <w:basedOn w:val="Normal"/>
    <w:next w:val="Normal"/>
    <w:semiHidden/>
    <w:rsid w:val="00F24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75B"/>
    <w:rPr>
      <w:rFonts w:ascii="Wingdings" w:hAnsi="Wingdings"/>
    </w:rPr>
  </w:style>
  <w:style w:type="paragraph" w:customStyle="1" w:styleId="TableHeading">
    <w:name w:val="Table Heading"/>
    <w:basedOn w:val="HeadingBase"/>
    <w:rsid w:val="00F24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75B"/>
    <w:rPr>
      <w:color w:val="0033CC"/>
      <w:u w:val="none"/>
    </w:rPr>
  </w:style>
  <w:style w:type="paragraph" w:customStyle="1" w:styleId="BodyTextRight">
    <w:name w:val="Body Text Right"/>
    <w:basedOn w:val="BodyText"/>
    <w:rsid w:val="00F24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75B"/>
    <w:rPr>
      <w:sz w:val="32"/>
    </w:rPr>
  </w:style>
  <w:style w:type="paragraph" w:customStyle="1" w:styleId="HeadingProcedure">
    <w:name w:val="Heading Procedure"/>
    <w:basedOn w:val="HeadingBase"/>
    <w:next w:val="Normal"/>
    <w:rsid w:val="00F24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75B"/>
    <w:pPr>
      <w:spacing w:before="60" w:after="60"/>
    </w:pPr>
  </w:style>
  <w:style w:type="paragraph" w:styleId="ListContinue">
    <w:name w:val="List Continue"/>
    <w:basedOn w:val="List"/>
    <w:rsid w:val="00F2475B"/>
    <w:pPr>
      <w:ind w:firstLine="0"/>
    </w:pPr>
  </w:style>
  <w:style w:type="paragraph" w:customStyle="1" w:styleId="ListNote">
    <w:name w:val="List Note"/>
    <w:basedOn w:val="List"/>
    <w:rsid w:val="00F24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75B"/>
    <w:rPr>
      <w:rFonts w:ascii="Courier New" w:hAnsi="Courier New"/>
    </w:rPr>
  </w:style>
  <w:style w:type="paragraph" w:customStyle="1" w:styleId="NoteBullet">
    <w:name w:val="Note Bullet"/>
    <w:basedOn w:val="Note"/>
    <w:rsid w:val="00F24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75B"/>
    <w:rPr>
      <w:b/>
      <w:smallCaps/>
    </w:rPr>
  </w:style>
  <w:style w:type="paragraph" w:customStyle="1" w:styleId="TableListNumber">
    <w:name w:val="Table List Number"/>
    <w:basedOn w:val="ListNumber"/>
    <w:rsid w:val="00F24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75B"/>
    <w:pPr>
      <w:numPr>
        <w:numId w:val="9"/>
      </w:numPr>
    </w:pPr>
  </w:style>
  <w:style w:type="paragraph" w:customStyle="1" w:styleId="ListAlpha2">
    <w:name w:val="List Alpha 2"/>
    <w:basedOn w:val="List2"/>
    <w:rsid w:val="00F2475B"/>
    <w:pPr>
      <w:numPr>
        <w:numId w:val="8"/>
      </w:numPr>
    </w:pPr>
  </w:style>
  <w:style w:type="paragraph" w:styleId="List2">
    <w:name w:val="List 2"/>
    <w:basedOn w:val="BodyText"/>
    <w:rsid w:val="00F24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75B"/>
    <w:pPr>
      <w:numPr>
        <w:numId w:val="4"/>
      </w:numPr>
    </w:pPr>
  </w:style>
  <w:style w:type="paragraph" w:styleId="ListContinue2">
    <w:name w:val="List Continue 2"/>
    <w:basedOn w:val="List2"/>
    <w:rsid w:val="00F2475B"/>
    <w:pPr>
      <w:ind w:firstLine="0"/>
    </w:pPr>
  </w:style>
  <w:style w:type="paragraph" w:styleId="ListContinue3">
    <w:name w:val="List Continue 3"/>
    <w:basedOn w:val="List3"/>
    <w:rsid w:val="00F2475B"/>
    <w:pPr>
      <w:ind w:left="1021" w:firstLine="0"/>
    </w:pPr>
  </w:style>
  <w:style w:type="paragraph" w:styleId="ListContinue4">
    <w:name w:val="List Continue 4"/>
    <w:basedOn w:val="List4"/>
    <w:rsid w:val="00F2475B"/>
    <w:pPr>
      <w:ind w:firstLine="0"/>
    </w:pPr>
  </w:style>
  <w:style w:type="paragraph" w:styleId="ListContinue5">
    <w:name w:val="List Continue 5"/>
    <w:basedOn w:val="List5"/>
    <w:rsid w:val="00F2475B"/>
    <w:pPr>
      <w:ind w:firstLine="0"/>
    </w:pPr>
  </w:style>
  <w:style w:type="paragraph" w:styleId="ListNumber3">
    <w:name w:val="List Number 3"/>
    <w:basedOn w:val="List3"/>
    <w:rsid w:val="00F2475B"/>
    <w:pPr>
      <w:numPr>
        <w:numId w:val="5"/>
      </w:numPr>
    </w:pPr>
  </w:style>
  <w:style w:type="paragraph" w:styleId="ListNumber4">
    <w:name w:val="List Number 4"/>
    <w:basedOn w:val="List4"/>
    <w:rsid w:val="00F2475B"/>
    <w:pPr>
      <w:numPr>
        <w:numId w:val="6"/>
      </w:numPr>
    </w:pPr>
  </w:style>
  <w:style w:type="paragraph" w:styleId="ListNumber5">
    <w:name w:val="List Number 5"/>
    <w:basedOn w:val="List5"/>
    <w:rsid w:val="00F2475B"/>
    <w:pPr>
      <w:numPr>
        <w:numId w:val="7"/>
      </w:numPr>
    </w:pPr>
  </w:style>
  <w:style w:type="paragraph" w:styleId="BlockText">
    <w:name w:val="Block Text"/>
    <w:basedOn w:val="Normal"/>
    <w:rsid w:val="00F24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75B"/>
    <w:rPr>
      <w:sz w:val="16"/>
      <w:vertAlign w:val="superscript"/>
    </w:rPr>
  </w:style>
  <w:style w:type="character" w:customStyle="1" w:styleId="Symbols">
    <w:name w:val="Symbols"/>
    <w:basedOn w:val="DefaultParagraphFont"/>
    <w:rsid w:val="00F2475B"/>
    <w:rPr>
      <w:rFonts w:ascii="Symbol" w:hAnsi="Symbol"/>
    </w:rPr>
  </w:style>
  <w:style w:type="character" w:customStyle="1" w:styleId="MenuOptions">
    <w:name w:val="Menu Options"/>
    <w:basedOn w:val="DefaultParagraphFont"/>
    <w:rsid w:val="00F24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75B"/>
    <w:rPr>
      <w:b/>
    </w:rPr>
  </w:style>
  <w:style w:type="character" w:customStyle="1" w:styleId="Underlined">
    <w:name w:val="Underlined"/>
    <w:basedOn w:val="DefaultParagraphFont"/>
    <w:rsid w:val="00F2475B"/>
    <w:rPr>
      <w:u w:val="single"/>
    </w:rPr>
  </w:style>
  <w:style w:type="paragraph" w:customStyle="1" w:styleId="TableBodyTextRight">
    <w:name w:val="Table Body Text Right"/>
    <w:basedOn w:val="TableBodyText"/>
    <w:rsid w:val="00F24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75B"/>
    <w:rPr>
      <w:sz w:val="18"/>
    </w:rPr>
  </w:style>
  <w:style w:type="paragraph" w:customStyle="1" w:styleId="BodySmallRight">
    <w:name w:val="Body Small Right"/>
    <w:basedOn w:val="BodyTextRight"/>
    <w:rsid w:val="00F2475B"/>
    <w:rPr>
      <w:sz w:val="18"/>
      <w:szCs w:val="18"/>
    </w:rPr>
  </w:style>
  <w:style w:type="paragraph" w:customStyle="1" w:styleId="MarginEdition">
    <w:name w:val="Margin Edition"/>
    <w:basedOn w:val="MarginNote"/>
    <w:rsid w:val="00F24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75B"/>
    <w:rPr>
      <w:sz w:val="2"/>
      <w:szCs w:val="2"/>
    </w:rPr>
  </w:style>
  <w:style w:type="character" w:customStyle="1" w:styleId="Small">
    <w:name w:val="Small"/>
    <w:basedOn w:val="DefaultParagraphFont"/>
    <w:rsid w:val="00F2475B"/>
    <w:rPr>
      <w:sz w:val="16"/>
    </w:rPr>
  </w:style>
  <w:style w:type="paragraph" w:customStyle="1" w:styleId="WideTable">
    <w:name w:val="Wide Table"/>
    <w:basedOn w:val="Normal"/>
    <w:rsid w:val="00F24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75B"/>
  </w:style>
  <w:style w:type="paragraph" w:styleId="Quote">
    <w:name w:val="Quote"/>
    <w:basedOn w:val="Heading1"/>
    <w:link w:val="QuoteChar"/>
    <w:qFormat/>
    <w:rsid w:val="00F24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75B"/>
    <w:pPr>
      <w:pageBreakBefore/>
    </w:pPr>
  </w:style>
  <w:style w:type="paragraph" w:customStyle="1" w:styleId="Border">
    <w:name w:val="Border"/>
    <w:basedOn w:val="Normal"/>
    <w:qFormat/>
    <w:rsid w:val="00F24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75B"/>
    <w:rPr>
      <w:u w:val="single"/>
    </w:rPr>
  </w:style>
  <w:style w:type="character" w:customStyle="1" w:styleId="BoldandItalics">
    <w:name w:val="Bold and Italics"/>
    <w:qFormat/>
    <w:rsid w:val="00F2475B"/>
    <w:rPr>
      <w:b/>
      <w:i/>
      <w:u w:val="none"/>
    </w:rPr>
  </w:style>
  <w:style w:type="paragraph" w:styleId="BalloonText">
    <w:name w:val="Balloon Text"/>
    <w:basedOn w:val="Normal"/>
    <w:link w:val="BalloonTextChar"/>
    <w:rsid w:val="00F24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75B"/>
    <w:pPr>
      <w:spacing w:before="0" w:after="0"/>
    </w:pPr>
  </w:style>
  <w:style w:type="paragraph" w:customStyle="1" w:styleId="BodyTextBold">
    <w:name w:val="Body Text Bold"/>
    <w:basedOn w:val="BodyText"/>
    <w:qFormat/>
    <w:rsid w:val="00F2475B"/>
    <w:rPr>
      <w:b/>
    </w:rPr>
  </w:style>
  <w:style w:type="character" w:styleId="Hyperlink">
    <w:name w:val="Hyperlink"/>
    <w:basedOn w:val="DefaultParagraphFont"/>
    <w:uiPriority w:val="99"/>
    <w:unhideWhenUsed/>
    <w:rsid w:val="00C70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4567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CHCSOH016 Manage tenancy rent and rental arrears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