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47A" w:rsidP="00F964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CHCSOH016 Manage tenancy rent and rental arrears</w:t>
      </w:r>
      <w:r>
        <w:fldChar w:fldCharType="end"/>
      </w:r>
    </w:p>
    <w:p w:rsidR="00F9647A" w:rsidP="00F9647A">
      <w:pPr>
        <w:pStyle w:val="Version"/>
        <w:sectPr w:rsidSect="00C65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824" w:rsidP="00C65824">
      <w:pPr>
        <w:pStyle w:val="SuperHeading"/>
      </w:pPr>
      <w:r w:rsidRPr="00C65824">
        <w:t>Assessment Requirements for CHCSOH016 Manage tenancy rent and rental arrears</w:t>
      </w:r>
    </w:p>
    <w:p w:rsidR="00000000" w:rsidRPr="00C65824" w:rsidP="00C65824">
      <w:pPr>
        <w:pStyle w:val="Heading1"/>
      </w:pPr>
      <w:bookmarkStart w:id="1" w:name="O_1181233"/>
      <w:bookmarkEnd w:id="1"/>
      <w:r w:rsidRPr="00C65824">
        <w:t>Modification History</w:t>
      </w:r>
    </w:p>
    <w:p w:rsidR="00000000" w:rsidRPr="00C65824" w:rsidP="00F9647A">
      <w:pPr>
        <w:pStyle w:val="BodyText"/>
      </w:pPr>
      <w:r w:rsidRPr="00C65824">
        <w:t>Release 1. CHCSOH016 Manage tenancy rent and rental arrears supersed</w:t>
      </w:r>
      <w:r w:rsidRPr="00C65824">
        <w:t>es and is not equivalent to CHCSOH005 Manage tenancy rent and rental arrears.</w:t>
      </w:r>
    </w:p>
    <w:p w:rsidR="00000000" w:rsidRPr="00C65824" w:rsidP="00C65824">
      <w:pPr>
        <w:pStyle w:val="Heading1"/>
      </w:pPr>
      <w:bookmarkStart w:id="2" w:name="O_1181234"/>
      <w:bookmarkEnd w:id="2"/>
      <w:r w:rsidRPr="00C65824">
        <w:t>Performance Evidence</w:t>
      </w:r>
    </w:p>
    <w:p w:rsidR="00000000" w:rsidRPr="00C65824" w:rsidP="00F9647A">
      <w:pPr>
        <w:pStyle w:val="BodyText"/>
      </w:pPr>
      <w:r w:rsidRPr="00C65824">
        <w:t>Evidence of the ability to complete tasks outlined in elements and performance criteria of this unit in the context of the job role, and:</w:t>
      </w:r>
    </w:p>
    <w:p w:rsidR="00000000" w:rsidRPr="00C65824" w:rsidP="00C65824">
      <w:pPr>
        <w:pStyle w:val="ListBullet"/>
      </w:pPr>
      <w:r w:rsidRPr="00C65824">
        <w:t>manage tenancy rent and rental arrears for one client.</w:t>
      </w:r>
    </w:p>
    <w:p w:rsidR="00000000" w:rsidRPr="00C65824" w:rsidP="00C65824">
      <w:pPr>
        <w:pStyle w:val="AllowPageBreak"/>
      </w:pPr>
    </w:p>
    <w:p w:rsidR="00000000" w:rsidRPr="00C65824" w:rsidP="00C65824">
      <w:pPr>
        <w:pStyle w:val="Heading1"/>
      </w:pPr>
      <w:bookmarkStart w:id="3" w:name="O_1181235"/>
      <w:bookmarkEnd w:id="3"/>
      <w:r w:rsidRPr="00C65824">
        <w:t>Knowledge Evidence</w:t>
      </w:r>
    </w:p>
    <w:p w:rsidR="00000000" w:rsidRPr="00C65824" w:rsidP="00F9647A">
      <w:pPr>
        <w:pStyle w:val="BodyText"/>
      </w:pPr>
      <w:r w:rsidRPr="00C65824">
        <w:t>Demonstrated knowledge required to complete the tasks outlined in elements and performance criteria of this unit:</w:t>
      </w:r>
    </w:p>
    <w:p w:rsidR="00000000" w:rsidRPr="00C65824" w:rsidP="00C65824">
      <w:pPr>
        <w:pStyle w:val="ListBullet"/>
      </w:pPr>
      <w:r w:rsidRPr="00C65824">
        <w:t>key elements of rental management and rent arre</w:t>
      </w:r>
      <w:r w:rsidRPr="00C65824">
        <w:t>ars management</w:t>
      </w:r>
    </w:p>
    <w:p w:rsidR="00000000" w:rsidRPr="00C65824" w:rsidP="00C65824">
      <w:pPr>
        <w:pStyle w:val="ListBullet"/>
      </w:pPr>
      <w:r w:rsidRPr="00C65824">
        <w:t>referral options to help clients with their financial situation:</w:t>
      </w:r>
    </w:p>
    <w:p w:rsidR="00000000" w:rsidRPr="00C65824" w:rsidP="00C65824">
      <w:pPr>
        <w:pStyle w:val="ListBullet2"/>
      </w:pPr>
      <w:r w:rsidRPr="00C65824">
        <w:t>charities offering brokerage services</w:t>
      </w:r>
    </w:p>
    <w:p w:rsidR="00000000" w:rsidRPr="00C65824" w:rsidP="00C65824">
      <w:pPr>
        <w:pStyle w:val="ListBullet2"/>
      </w:pPr>
      <w:r w:rsidRPr="00C65824">
        <w:t>community legal centres offering financial counselling, energy and food vouchers</w:t>
      </w:r>
    </w:p>
    <w:p w:rsidR="00000000" w:rsidRPr="00C65824" w:rsidP="00C65824">
      <w:pPr>
        <w:pStyle w:val="ListBullet"/>
      </w:pPr>
      <w:r w:rsidRPr="00C65824">
        <w:t>principles for sustaining tenancies and early intervention strategies</w:t>
      </w:r>
    </w:p>
    <w:p w:rsidR="00000000" w:rsidRPr="00C65824" w:rsidP="00C65824">
      <w:pPr>
        <w:pStyle w:val="ListBullet"/>
      </w:pPr>
      <w:r w:rsidRPr="00C65824">
        <w:t>indicators of tenant rent payment difficulties</w:t>
      </w:r>
    </w:p>
    <w:p w:rsidR="00000000" w:rsidRPr="00C65824" w:rsidP="00C65824">
      <w:pPr>
        <w:pStyle w:val="ListBullet"/>
      </w:pPr>
      <w:r w:rsidRPr="00C65824">
        <w:t>factors related to communicating with tenants in relation to rental management</w:t>
      </w:r>
    </w:p>
    <w:p w:rsidR="00000000" w:rsidRPr="00C65824" w:rsidP="00C65824">
      <w:pPr>
        <w:pStyle w:val="ListBullet"/>
      </w:pPr>
      <w:r w:rsidRPr="00C65824">
        <w:t>mediation and dispute resolution principles and techniques</w:t>
      </w:r>
    </w:p>
    <w:p w:rsidR="00000000" w:rsidRPr="00C65824" w:rsidP="00C65824">
      <w:pPr>
        <w:pStyle w:val="ListBullet"/>
      </w:pPr>
      <w:r w:rsidRPr="00C65824">
        <w:t>r</w:t>
      </w:r>
      <w:r w:rsidRPr="00C65824">
        <w:t>ental account system and its operation within the organisation</w:t>
      </w:r>
    </w:p>
    <w:p w:rsidR="00000000" w:rsidRPr="00C65824" w:rsidP="00C65824">
      <w:pPr>
        <w:pStyle w:val="ListBullet"/>
      </w:pPr>
      <w:r w:rsidRPr="00C65824">
        <w:t>computer systems used in the organisation for rental management</w:t>
      </w:r>
    </w:p>
    <w:p w:rsidR="00000000" w:rsidRPr="00C65824" w:rsidP="00C65824">
      <w:pPr>
        <w:pStyle w:val="ListBullet"/>
      </w:pPr>
      <w:r w:rsidRPr="00C65824">
        <w:t>client confidentiality</w:t>
      </w:r>
    </w:p>
    <w:p w:rsidR="00000000" w:rsidRPr="00C65824" w:rsidP="00C65824">
      <w:pPr>
        <w:pStyle w:val="ListBullet"/>
      </w:pPr>
      <w:r w:rsidRPr="00C65824">
        <w:t>eviction procedures</w:t>
      </w:r>
    </w:p>
    <w:p w:rsidR="00000000" w:rsidRPr="00C65824" w:rsidP="00C65824">
      <w:pPr>
        <w:pStyle w:val="ListBullet"/>
      </w:pPr>
      <w:r w:rsidRPr="00C65824">
        <w:t>legal requirements in relation to termination of tenancies</w:t>
      </w:r>
    </w:p>
    <w:p w:rsidR="00000000" w:rsidRPr="00C65824" w:rsidP="00C65824">
      <w:pPr>
        <w:pStyle w:val="ListBullet"/>
      </w:pPr>
      <w:r w:rsidRPr="00C65824">
        <w:t xml:space="preserve">techniques for calculating </w:t>
      </w:r>
      <w:r w:rsidRPr="00C65824">
        <w:t>rent and other charges.</w:t>
      </w:r>
    </w:p>
    <w:p w:rsidR="00000000" w:rsidRPr="00C65824" w:rsidP="00C65824">
      <w:pPr>
        <w:pStyle w:val="AllowPageBreak"/>
      </w:pPr>
    </w:p>
    <w:p w:rsidR="00000000" w:rsidRPr="00C65824" w:rsidP="00C65824">
      <w:pPr>
        <w:pStyle w:val="Heading1"/>
      </w:pPr>
      <w:bookmarkStart w:id="4" w:name="O_1181236"/>
      <w:bookmarkEnd w:id="4"/>
      <w:r w:rsidRPr="00C65824">
        <w:t>Assessment Conditions</w:t>
      </w:r>
    </w:p>
    <w:p w:rsidR="00000000" w:rsidRPr="00C65824" w:rsidP="00F9647A">
      <w:pPr>
        <w:pStyle w:val="BodyText"/>
      </w:pPr>
      <w:r w:rsidRPr="00C65824">
        <w:t>Skills must be demonstrated in the workplace or in a simulated environment that reflects workplace conditions.</w:t>
      </w:r>
    </w:p>
    <w:p w:rsidR="00000000" w:rsidRPr="00C65824" w:rsidP="00F9647A">
      <w:pPr>
        <w:pStyle w:val="BodyText"/>
      </w:pPr>
      <w:r w:rsidRPr="00C65824">
        <w:t>Assessment must ensure:</w:t>
      </w:r>
    </w:p>
    <w:p w:rsidR="00000000" w:rsidRPr="00C65824" w:rsidP="00C65824">
      <w:pPr>
        <w:pStyle w:val="ListBullet"/>
      </w:pPr>
      <w:r w:rsidRPr="00C65824">
        <w:t>access to suitable facilities, equipment and resources that reflect real working conditions and model industry operating conditions and contingencies</w:t>
      </w:r>
    </w:p>
    <w:p w:rsidR="00000000" w:rsidRPr="00C65824" w:rsidP="00C65824">
      <w:pPr>
        <w:pStyle w:val="ListBullet"/>
      </w:pPr>
      <w:r w:rsidRPr="00C65824">
        <w:t>access to organisational policies and procedures</w:t>
      </w:r>
    </w:p>
    <w:p w:rsidR="00000000" w:rsidRPr="00C65824" w:rsidP="00C65824">
      <w:pPr>
        <w:pStyle w:val="ListBullet"/>
      </w:pPr>
      <w:r w:rsidRPr="00C65824">
        <w:t>access to rental management computer system</w:t>
      </w:r>
    </w:p>
    <w:p w:rsidR="00000000" w:rsidRPr="00C65824" w:rsidP="00C65824">
      <w:pPr>
        <w:pStyle w:val="ListBullet"/>
      </w:pPr>
      <w:r w:rsidRPr="00C65824">
        <w:t>opportunities</w:t>
      </w:r>
      <w:r w:rsidRPr="00C65824">
        <w:t xml:space="preserve"> for engagement with clients.</w:t>
      </w:r>
    </w:p>
    <w:p w:rsidR="00000000" w:rsidRPr="00C65824" w:rsidP="00F9647A">
      <w:pPr>
        <w:pStyle w:val="BodyText"/>
      </w:pPr>
      <w:r w:rsidRPr="00C65824">
        <w:t>Assessors must satisfy the Standards for Registered Training Organisations’ requirements for assessors.</w:t>
      </w:r>
    </w:p>
    <w:p w:rsidR="00000000" w:rsidRPr="00C65824" w:rsidP="00C65824">
      <w:pPr>
        <w:pStyle w:val="Heading1"/>
      </w:pPr>
      <w:bookmarkStart w:id="5" w:name="O_1181239"/>
      <w:bookmarkEnd w:id="5"/>
      <w:r w:rsidRPr="00C65824">
        <w:t>Links</w:t>
      </w:r>
    </w:p>
    <w:p w:rsidR="00000000" w:rsidRPr="00C65824" w:rsidP="00F9647A">
      <w:pPr>
        <w:pStyle w:val="BodyText"/>
      </w:pPr>
      <w:r w:rsidRPr="00C65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F29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65824" w:rsidP="00C65824"/>
    <w:sectPr w:rsidSect="00C65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24" w:rsidRPr="00F9647A" w:rsidP="00F964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7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824" w:rsidRPr="00F9647A" w:rsidP="00F96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7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AE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C3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27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824"/>
  </w:style>
  <w:style w:type="character" w:customStyle="1" w:styleId="Heading1Char">
    <w:name w:val="Heading 1 Char"/>
    <w:basedOn w:val="DefaultParagraphFont"/>
    <w:link w:val="Heading1"/>
    <w:rsid w:val="00C65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8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8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824"/>
    <w:rPr>
      <w:b/>
      <w:spacing w:val="0"/>
    </w:rPr>
  </w:style>
  <w:style w:type="paragraph" w:customStyle="1" w:styleId="SuperTitle">
    <w:name w:val="SuperTitle"/>
    <w:basedOn w:val="Title"/>
    <w:rsid w:val="00C65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824"/>
    <w:rPr>
      <w:i/>
    </w:rPr>
  </w:style>
  <w:style w:type="paragraph" w:styleId="Caption">
    <w:name w:val="caption"/>
    <w:basedOn w:val="BodyText"/>
    <w:next w:val="Normal"/>
    <w:qFormat/>
    <w:rsid w:val="00C65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824"/>
  </w:style>
  <w:style w:type="paragraph" w:styleId="TableofFigures">
    <w:name w:val="table of figures"/>
    <w:basedOn w:val="Normal"/>
    <w:next w:val="Normal"/>
    <w:semiHidden/>
    <w:rsid w:val="00C65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8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824"/>
    <w:rPr>
      <w:rFonts w:ascii="Wingdings" w:hAnsi="Wingdings"/>
    </w:rPr>
  </w:style>
  <w:style w:type="paragraph" w:customStyle="1" w:styleId="TableHeading">
    <w:name w:val="Table Heading"/>
    <w:basedOn w:val="HeadingBase"/>
    <w:rsid w:val="00C65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824"/>
    <w:rPr>
      <w:color w:val="0033CC"/>
      <w:u w:val="none"/>
    </w:rPr>
  </w:style>
  <w:style w:type="paragraph" w:customStyle="1" w:styleId="BodyTextRight">
    <w:name w:val="Body Text Right"/>
    <w:basedOn w:val="BodyText"/>
    <w:rsid w:val="00C65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8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824"/>
    <w:rPr>
      <w:sz w:val="32"/>
    </w:rPr>
  </w:style>
  <w:style w:type="paragraph" w:customStyle="1" w:styleId="HeadingProcedure">
    <w:name w:val="Heading Procedure"/>
    <w:basedOn w:val="HeadingBase"/>
    <w:next w:val="Normal"/>
    <w:rsid w:val="00C65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824"/>
    <w:pPr>
      <w:spacing w:before="60" w:after="60"/>
    </w:pPr>
  </w:style>
  <w:style w:type="paragraph" w:styleId="ListContinue">
    <w:name w:val="List Continue"/>
    <w:basedOn w:val="List"/>
    <w:rsid w:val="00C65824"/>
    <w:pPr>
      <w:ind w:firstLine="0"/>
    </w:pPr>
  </w:style>
  <w:style w:type="paragraph" w:customStyle="1" w:styleId="ListNote">
    <w:name w:val="List Note"/>
    <w:basedOn w:val="List"/>
    <w:rsid w:val="00C65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824"/>
    <w:rPr>
      <w:rFonts w:ascii="Courier New" w:hAnsi="Courier New"/>
    </w:rPr>
  </w:style>
  <w:style w:type="paragraph" w:customStyle="1" w:styleId="NoteBullet">
    <w:name w:val="Note Bullet"/>
    <w:basedOn w:val="Note"/>
    <w:rsid w:val="00C65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8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824"/>
    <w:rPr>
      <w:b/>
      <w:smallCaps/>
    </w:rPr>
  </w:style>
  <w:style w:type="paragraph" w:customStyle="1" w:styleId="TableListNumber">
    <w:name w:val="Table List Number"/>
    <w:basedOn w:val="ListNumber"/>
    <w:rsid w:val="00C65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824"/>
    <w:pPr>
      <w:numPr>
        <w:numId w:val="9"/>
      </w:numPr>
    </w:pPr>
  </w:style>
  <w:style w:type="paragraph" w:customStyle="1" w:styleId="ListAlpha2">
    <w:name w:val="List Alpha 2"/>
    <w:basedOn w:val="List2"/>
    <w:rsid w:val="00C65824"/>
    <w:pPr>
      <w:numPr>
        <w:numId w:val="8"/>
      </w:numPr>
    </w:pPr>
  </w:style>
  <w:style w:type="paragraph" w:styleId="List2">
    <w:name w:val="List 2"/>
    <w:basedOn w:val="BodyText"/>
    <w:rsid w:val="00C65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8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8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824"/>
    <w:pPr>
      <w:numPr>
        <w:numId w:val="4"/>
      </w:numPr>
    </w:pPr>
  </w:style>
  <w:style w:type="paragraph" w:styleId="ListContinue2">
    <w:name w:val="List Continue 2"/>
    <w:basedOn w:val="List2"/>
    <w:rsid w:val="00C65824"/>
    <w:pPr>
      <w:ind w:firstLine="0"/>
    </w:pPr>
  </w:style>
  <w:style w:type="paragraph" w:styleId="ListContinue3">
    <w:name w:val="List Continue 3"/>
    <w:basedOn w:val="List3"/>
    <w:rsid w:val="00C65824"/>
    <w:pPr>
      <w:ind w:left="1021" w:firstLine="0"/>
    </w:pPr>
  </w:style>
  <w:style w:type="paragraph" w:styleId="ListContinue4">
    <w:name w:val="List Continue 4"/>
    <w:basedOn w:val="List4"/>
    <w:rsid w:val="00C65824"/>
    <w:pPr>
      <w:ind w:firstLine="0"/>
    </w:pPr>
  </w:style>
  <w:style w:type="paragraph" w:styleId="ListContinue5">
    <w:name w:val="List Continue 5"/>
    <w:basedOn w:val="List5"/>
    <w:rsid w:val="00C65824"/>
    <w:pPr>
      <w:ind w:firstLine="0"/>
    </w:pPr>
  </w:style>
  <w:style w:type="paragraph" w:styleId="ListNumber3">
    <w:name w:val="List Number 3"/>
    <w:basedOn w:val="List3"/>
    <w:rsid w:val="00C65824"/>
    <w:pPr>
      <w:numPr>
        <w:numId w:val="5"/>
      </w:numPr>
    </w:pPr>
  </w:style>
  <w:style w:type="paragraph" w:styleId="ListNumber4">
    <w:name w:val="List Number 4"/>
    <w:basedOn w:val="List4"/>
    <w:rsid w:val="00C65824"/>
    <w:pPr>
      <w:numPr>
        <w:numId w:val="6"/>
      </w:numPr>
    </w:pPr>
  </w:style>
  <w:style w:type="paragraph" w:styleId="ListNumber5">
    <w:name w:val="List Number 5"/>
    <w:basedOn w:val="List5"/>
    <w:rsid w:val="00C65824"/>
    <w:pPr>
      <w:numPr>
        <w:numId w:val="7"/>
      </w:numPr>
    </w:pPr>
  </w:style>
  <w:style w:type="paragraph" w:styleId="BlockText">
    <w:name w:val="Block Text"/>
    <w:basedOn w:val="Normal"/>
    <w:rsid w:val="00C65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824"/>
    <w:rPr>
      <w:sz w:val="16"/>
      <w:vertAlign w:val="superscript"/>
    </w:rPr>
  </w:style>
  <w:style w:type="character" w:customStyle="1" w:styleId="Symbols">
    <w:name w:val="Symbols"/>
    <w:basedOn w:val="DefaultParagraphFont"/>
    <w:rsid w:val="00C65824"/>
    <w:rPr>
      <w:rFonts w:ascii="Symbol" w:hAnsi="Symbol"/>
    </w:rPr>
  </w:style>
  <w:style w:type="character" w:customStyle="1" w:styleId="MenuOptions">
    <w:name w:val="Menu Options"/>
    <w:basedOn w:val="DefaultParagraphFont"/>
    <w:rsid w:val="00C65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824"/>
    <w:rPr>
      <w:b/>
    </w:rPr>
  </w:style>
  <w:style w:type="character" w:customStyle="1" w:styleId="Underlined">
    <w:name w:val="Underlined"/>
    <w:basedOn w:val="DefaultParagraphFont"/>
    <w:rsid w:val="00C65824"/>
    <w:rPr>
      <w:u w:val="single"/>
    </w:rPr>
  </w:style>
  <w:style w:type="paragraph" w:customStyle="1" w:styleId="TableBodyTextRight">
    <w:name w:val="Table Body Text Right"/>
    <w:basedOn w:val="TableBodyText"/>
    <w:rsid w:val="00C65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824"/>
    <w:rPr>
      <w:sz w:val="18"/>
    </w:rPr>
  </w:style>
  <w:style w:type="paragraph" w:customStyle="1" w:styleId="BodySmallRight">
    <w:name w:val="Body Small Right"/>
    <w:basedOn w:val="BodyTextRight"/>
    <w:rsid w:val="00C65824"/>
    <w:rPr>
      <w:sz w:val="18"/>
      <w:szCs w:val="18"/>
    </w:rPr>
  </w:style>
  <w:style w:type="paragraph" w:customStyle="1" w:styleId="MarginEdition">
    <w:name w:val="Margin Edition"/>
    <w:basedOn w:val="MarginNote"/>
    <w:rsid w:val="00C65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824"/>
    <w:rPr>
      <w:sz w:val="2"/>
      <w:szCs w:val="2"/>
    </w:rPr>
  </w:style>
  <w:style w:type="character" w:customStyle="1" w:styleId="Small">
    <w:name w:val="Small"/>
    <w:basedOn w:val="DefaultParagraphFont"/>
    <w:rsid w:val="00C65824"/>
    <w:rPr>
      <w:sz w:val="16"/>
    </w:rPr>
  </w:style>
  <w:style w:type="paragraph" w:customStyle="1" w:styleId="WideTable">
    <w:name w:val="Wide Table"/>
    <w:basedOn w:val="Normal"/>
    <w:rsid w:val="00C65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824"/>
  </w:style>
  <w:style w:type="paragraph" w:styleId="Quote">
    <w:name w:val="Quote"/>
    <w:basedOn w:val="Heading1"/>
    <w:link w:val="QuoteChar"/>
    <w:qFormat/>
    <w:rsid w:val="00C65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824"/>
    <w:pPr>
      <w:pageBreakBefore/>
    </w:pPr>
  </w:style>
  <w:style w:type="paragraph" w:customStyle="1" w:styleId="Border">
    <w:name w:val="Border"/>
    <w:basedOn w:val="Normal"/>
    <w:qFormat/>
    <w:rsid w:val="00C65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824"/>
    <w:rPr>
      <w:u w:val="single"/>
    </w:rPr>
  </w:style>
  <w:style w:type="character" w:customStyle="1" w:styleId="BoldandItalics">
    <w:name w:val="Bold and Italics"/>
    <w:qFormat/>
    <w:rsid w:val="00C65824"/>
    <w:rPr>
      <w:b/>
      <w:i/>
      <w:u w:val="none"/>
    </w:rPr>
  </w:style>
  <w:style w:type="paragraph" w:styleId="BalloonText">
    <w:name w:val="Balloon Text"/>
    <w:basedOn w:val="Normal"/>
    <w:link w:val="BalloonTextChar"/>
    <w:rsid w:val="00C65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824"/>
    <w:pPr>
      <w:spacing w:before="0" w:after="0"/>
    </w:pPr>
  </w:style>
  <w:style w:type="paragraph" w:customStyle="1" w:styleId="BodyTextBold">
    <w:name w:val="Body Text Bold"/>
    <w:basedOn w:val="BodyText"/>
    <w:qFormat/>
    <w:rsid w:val="00C65824"/>
    <w:rPr>
      <w:b/>
    </w:rPr>
  </w:style>
  <w:style w:type="character" w:styleId="Hyperlink">
    <w:name w:val="Hyperlink"/>
    <w:basedOn w:val="DefaultParagraphFont"/>
    <w:uiPriority w:val="99"/>
    <w:unhideWhenUsed/>
    <w:rsid w:val="00F96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2034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CHCSOH016 Manage tenancy rent and rental arrears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