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E295F" w:rsidP="00DE295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CHCSOH015 Manage housing application and allocation processes</w:t>
      </w:r>
      <w:r>
        <w:fldChar w:fldCharType="end"/>
      </w:r>
    </w:p>
    <w:p w:rsidR="00DE295F" w:rsidP="00DE295F">
      <w:pPr>
        <w:pStyle w:val="Version"/>
        <w:sectPr w:rsidSect="00E51BF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51BF1" w:rsidP="00E51BF1">
      <w:pPr>
        <w:pStyle w:val="SuperHeading"/>
      </w:pPr>
      <w:r w:rsidRPr="00E51BF1">
        <w:t>Assessment Requirements for CHCSOH015 Manage housing application and allocation processes</w:t>
      </w:r>
    </w:p>
    <w:p w:rsidR="00000000" w:rsidRPr="00E51BF1" w:rsidP="00E51BF1">
      <w:pPr>
        <w:pStyle w:val="Heading1"/>
      </w:pPr>
      <w:bookmarkStart w:id="1" w:name="O_1181214"/>
      <w:bookmarkEnd w:id="1"/>
      <w:r w:rsidRPr="00E51BF1">
        <w:t>Modification History</w:t>
      </w:r>
    </w:p>
    <w:p w:rsidR="00000000" w:rsidRPr="00E51BF1" w:rsidP="00DE295F">
      <w:pPr>
        <w:pStyle w:val="BodyText"/>
      </w:pPr>
      <w:r w:rsidRPr="00E51BF1">
        <w:t>Release 1. CHCSOH015 Manage housing application and all</w:t>
      </w:r>
      <w:r w:rsidRPr="00E51BF1">
        <w:t xml:space="preserve">ocation processes supersedes and is not equivalent to CHCSOH003 Manage housing application processes and CHCSOH004 Manage housing allocations. </w:t>
      </w:r>
    </w:p>
    <w:p w:rsidR="00000000" w:rsidRPr="00E51BF1" w:rsidP="00E51BF1">
      <w:pPr>
        <w:pStyle w:val="Heading1"/>
      </w:pPr>
      <w:bookmarkStart w:id="2" w:name="O_1181215"/>
      <w:bookmarkEnd w:id="2"/>
      <w:r w:rsidRPr="00E51BF1">
        <w:t>Performance Evidence</w:t>
      </w:r>
    </w:p>
    <w:p w:rsidR="00000000" w:rsidRPr="00E51BF1" w:rsidP="00DE295F">
      <w:pPr>
        <w:pStyle w:val="BodyText"/>
      </w:pPr>
      <w:r w:rsidRPr="00E51BF1">
        <w:t>Evidence of the ability to complete tasks outlined in elements and perfo</w:t>
      </w:r>
      <w:r w:rsidRPr="00E51BF1">
        <w:t>rmance criteria of this unit in the context of the job role, and:</w:t>
      </w:r>
    </w:p>
    <w:p w:rsidR="00000000" w:rsidRPr="00E51BF1" w:rsidP="00E51BF1">
      <w:pPr>
        <w:pStyle w:val="ListBullet"/>
      </w:pPr>
      <w:r w:rsidRPr="00E51BF1">
        <w:t>assist three different clients with the preparation of applications for housing including:</w:t>
      </w:r>
    </w:p>
    <w:p w:rsidR="00000000" w:rsidRPr="00E51BF1" w:rsidP="00E51BF1">
      <w:pPr>
        <w:pStyle w:val="ListBullet2"/>
      </w:pPr>
      <w:r w:rsidRPr="00E51BF1">
        <w:t>conducting interview</w:t>
      </w:r>
    </w:p>
    <w:p w:rsidR="00000000" w:rsidRPr="00E51BF1" w:rsidP="00E51BF1">
      <w:pPr>
        <w:pStyle w:val="ListBullet2"/>
      </w:pPr>
      <w:r w:rsidRPr="00E51BF1">
        <w:t>providing information regarding entitlements</w:t>
      </w:r>
    </w:p>
    <w:p w:rsidR="00000000" w:rsidRPr="00E51BF1" w:rsidP="00E51BF1">
      <w:pPr>
        <w:pStyle w:val="ListBullet2"/>
      </w:pPr>
      <w:r w:rsidRPr="00E51BF1">
        <w:t>providing forms</w:t>
      </w:r>
    </w:p>
    <w:p w:rsidR="00000000" w:rsidRPr="00E51BF1" w:rsidP="00E51BF1">
      <w:pPr>
        <w:pStyle w:val="ListBullet2"/>
      </w:pPr>
      <w:r w:rsidRPr="00E51BF1">
        <w:t>assessing appli</w:t>
      </w:r>
      <w:r w:rsidRPr="00E51BF1">
        <w:t>cations for assistance</w:t>
      </w:r>
    </w:p>
    <w:p w:rsidR="00000000" w:rsidRPr="00E51BF1" w:rsidP="00E51BF1">
      <w:pPr>
        <w:pStyle w:val="ListBullet2"/>
      </w:pPr>
      <w:r w:rsidRPr="00E51BF1">
        <w:t>providing feedback to clients</w:t>
      </w:r>
    </w:p>
    <w:p w:rsidR="00000000" w:rsidRPr="00E51BF1" w:rsidP="00E51BF1">
      <w:pPr>
        <w:pStyle w:val="ListBullet"/>
      </w:pPr>
      <w:r w:rsidRPr="00E51BF1">
        <w:t>administer housing allocations for three different clients from diverse backgrounds.</w:t>
      </w:r>
    </w:p>
    <w:p w:rsidR="00000000" w:rsidRPr="00E51BF1" w:rsidP="00E51BF1">
      <w:pPr>
        <w:pStyle w:val="AllowPageBreak"/>
      </w:pPr>
    </w:p>
    <w:p w:rsidR="00000000" w:rsidRPr="00E51BF1" w:rsidP="00E51BF1">
      <w:pPr>
        <w:pStyle w:val="Heading1"/>
      </w:pPr>
      <w:bookmarkStart w:id="3" w:name="O_1181216"/>
      <w:bookmarkEnd w:id="3"/>
      <w:r w:rsidRPr="00E51BF1">
        <w:t>Knowledge Evidence</w:t>
      </w:r>
    </w:p>
    <w:p w:rsidR="00000000" w:rsidRPr="00E51BF1" w:rsidP="00DE295F">
      <w:pPr>
        <w:pStyle w:val="BodyText"/>
      </w:pPr>
      <w:r w:rsidRPr="00E51BF1">
        <w:t>Demonstrated knowledge required to compl</w:t>
      </w:r>
      <w:r w:rsidRPr="00E51BF1">
        <w:t>ete the tasks outlined in elements and performance criteria of this unit:</w:t>
      </w:r>
    </w:p>
    <w:p w:rsidR="00000000" w:rsidRPr="00E51BF1" w:rsidP="00E51BF1">
      <w:pPr>
        <w:pStyle w:val="ListBullet"/>
      </w:pPr>
      <w:r w:rsidRPr="00E51BF1">
        <w:t>housing options:</w:t>
      </w:r>
    </w:p>
    <w:p w:rsidR="00000000" w:rsidRPr="00E51BF1" w:rsidP="00E51BF1">
      <w:pPr>
        <w:pStyle w:val="ListBullet2"/>
      </w:pPr>
      <w:r w:rsidRPr="00E51BF1">
        <w:t>private rental</w:t>
      </w:r>
    </w:p>
    <w:p w:rsidR="00000000" w:rsidRPr="00E51BF1" w:rsidP="00E51BF1">
      <w:pPr>
        <w:pStyle w:val="ListBullet2"/>
      </w:pPr>
      <w:r w:rsidRPr="00E51BF1">
        <w:t>priority allocation</w:t>
      </w:r>
    </w:p>
    <w:p w:rsidR="00000000" w:rsidRPr="00E51BF1" w:rsidP="00E51BF1">
      <w:pPr>
        <w:pStyle w:val="ListBullet2"/>
      </w:pPr>
      <w:r w:rsidRPr="00E51BF1">
        <w:t>temporary accommodation</w:t>
      </w:r>
    </w:p>
    <w:p w:rsidR="00000000" w:rsidRPr="00E51BF1" w:rsidP="00E51BF1">
      <w:pPr>
        <w:pStyle w:val="ListBullet2"/>
      </w:pPr>
      <w:r w:rsidRPr="00E51BF1">
        <w:t xml:space="preserve">affordable housing </w:t>
      </w:r>
    </w:p>
    <w:p w:rsidR="00000000" w:rsidRPr="00E51BF1" w:rsidP="00E51BF1">
      <w:pPr>
        <w:pStyle w:val="ListBullet"/>
      </w:pPr>
      <w:r w:rsidRPr="00E51BF1">
        <w:t>services and resources useful to clients and prospective tenants:</w:t>
      </w:r>
    </w:p>
    <w:p w:rsidR="00000000" w:rsidRPr="00E51BF1" w:rsidP="00E51BF1">
      <w:pPr>
        <w:pStyle w:val="ListBullet2"/>
      </w:pPr>
      <w:r w:rsidRPr="00E51BF1">
        <w:t>case management</w:t>
      </w:r>
    </w:p>
    <w:p w:rsidR="00000000" w:rsidRPr="00E51BF1" w:rsidP="00E51BF1">
      <w:pPr>
        <w:pStyle w:val="ListBullet2"/>
      </w:pPr>
      <w:r w:rsidRPr="00E51BF1">
        <w:t xml:space="preserve">community services </w:t>
      </w:r>
    </w:p>
    <w:p w:rsidR="00000000" w:rsidRPr="00E51BF1" w:rsidP="00E51BF1">
      <w:pPr>
        <w:pStyle w:val="ListBullet"/>
      </w:pPr>
      <w:r w:rsidRPr="00E51BF1">
        <w:t>organisational recording and reporting systems:</w:t>
      </w:r>
    </w:p>
    <w:p w:rsidR="00000000" w:rsidRPr="00E51BF1" w:rsidP="00E51BF1">
      <w:pPr>
        <w:pStyle w:val="ListBullet2"/>
      </w:pPr>
      <w:r w:rsidRPr="00E51BF1">
        <w:t>cultural protocols and systems</w:t>
      </w:r>
    </w:p>
    <w:p w:rsidR="00000000" w:rsidRPr="00E51BF1" w:rsidP="00E51BF1">
      <w:pPr>
        <w:pStyle w:val="ListBullet2"/>
      </w:pPr>
      <w:r w:rsidRPr="00E51BF1">
        <w:t>communication and decision making processes</w:t>
      </w:r>
    </w:p>
    <w:p w:rsidR="00000000" w:rsidRPr="00E51BF1" w:rsidP="00E51BF1">
      <w:pPr>
        <w:pStyle w:val="ListBullet"/>
      </w:pPr>
      <w:r w:rsidRPr="00E51BF1">
        <w:t>allocation zones and respective waiting lists:</w:t>
      </w:r>
    </w:p>
    <w:p w:rsidR="00000000" w:rsidRPr="00E51BF1" w:rsidP="00E51BF1">
      <w:pPr>
        <w:pStyle w:val="ListBullet2"/>
      </w:pPr>
      <w:r w:rsidRPr="00E51BF1">
        <w:t xml:space="preserve">mutual exchange register or equivalent </w:t>
      </w:r>
    </w:p>
    <w:p w:rsidR="00000000" w:rsidRPr="00E51BF1" w:rsidP="00E51BF1">
      <w:pPr>
        <w:pStyle w:val="ListBullet"/>
      </w:pPr>
      <w:r w:rsidRPr="00E51BF1">
        <w:t>risk and contributing factors of domestic and family violence and harassment</w:t>
      </w:r>
    </w:p>
    <w:p w:rsidR="00000000" w:rsidRPr="00E51BF1" w:rsidP="00E51BF1">
      <w:pPr>
        <w:pStyle w:val="ListBullet"/>
      </w:pPr>
      <w:r w:rsidRPr="00E51BF1">
        <w:t xml:space="preserve">entitlements </w:t>
      </w:r>
    </w:p>
    <w:p w:rsidR="00000000" w:rsidRPr="00E51BF1" w:rsidP="00E51BF1">
      <w:pPr>
        <w:pStyle w:val="ListBullet"/>
      </w:pPr>
      <w:r w:rsidRPr="00E51BF1">
        <w:t>review processes for eligibility criteria according to organisational policies and procedures:</w:t>
      </w:r>
    </w:p>
    <w:p w:rsidR="00000000" w:rsidRPr="00E51BF1" w:rsidP="00E51BF1">
      <w:pPr>
        <w:pStyle w:val="ListBullet2"/>
      </w:pPr>
      <w:r w:rsidRPr="00E51BF1">
        <w:t>right of appeal</w:t>
      </w:r>
    </w:p>
    <w:p w:rsidR="00000000" w:rsidRPr="00E51BF1" w:rsidP="00E51BF1">
      <w:pPr>
        <w:pStyle w:val="ListBullet"/>
      </w:pPr>
      <w:r w:rsidRPr="00E51BF1">
        <w:t>organisational requirements for:</w:t>
      </w:r>
    </w:p>
    <w:p w:rsidR="00000000" w:rsidRPr="00E51BF1" w:rsidP="00E51BF1">
      <w:pPr>
        <w:pStyle w:val="ListBullet2"/>
      </w:pPr>
      <w:r w:rsidRPr="00E51BF1">
        <w:t>receiving and rece</w:t>
      </w:r>
      <w:r w:rsidRPr="00E51BF1">
        <w:t>ipting applications</w:t>
      </w:r>
    </w:p>
    <w:p w:rsidR="00000000" w:rsidRPr="00E51BF1" w:rsidP="00E51BF1">
      <w:pPr>
        <w:pStyle w:val="ListBullet2"/>
      </w:pPr>
      <w:r w:rsidRPr="00E51BF1">
        <w:t>use of application management systems:</w:t>
      </w:r>
    </w:p>
    <w:p w:rsidR="00000000" w:rsidRPr="00E51BF1" w:rsidP="00E51BF1">
      <w:pPr>
        <w:pStyle w:val="ListBullet2"/>
      </w:pPr>
      <w:r w:rsidRPr="00E51BF1">
        <w:t xml:space="preserve">information management </w:t>
      </w:r>
    </w:p>
    <w:p w:rsidR="00000000" w:rsidRPr="00E51BF1" w:rsidP="00E51BF1">
      <w:pPr>
        <w:pStyle w:val="ListBullet2"/>
      </w:pPr>
      <w:r w:rsidRPr="00E51BF1">
        <w:t>entitlements</w:t>
      </w:r>
    </w:p>
    <w:p w:rsidR="00000000" w:rsidRPr="00E51BF1" w:rsidP="00E51BF1">
      <w:pPr>
        <w:pStyle w:val="ListBullet2"/>
      </w:pPr>
      <w:r w:rsidRPr="00E51BF1">
        <w:t xml:space="preserve">temporary and emergency accommodation </w:t>
      </w:r>
    </w:p>
    <w:p w:rsidR="00000000" w:rsidRPr="00E51BF1" w:rsidP="00E51BF1">
      <w:pPr>
        <w:pStyle w:val="ListBullet2"/>
      </w:pPr>
      <w:r w:rsidRPr="00E51BF1">
        <w:t>identifying rehousing circumstances where direct, immediate relocation is required</w:t>
      </w:r>
    </w:p>
    <w:p w:rsidR="00000000" w:rsidRPr="00E51BF1" w:rsidP="00E51BF1">
      <w:pPr>
        <w:pStyle w:val="ListBullet"/>
      </w:pPr>
      <w:r w:rsidRPr="00E51BF1">
        <w:t>assessment processes to determine sto</w:t>
      </w:r>
      <w:r w:rsidRPr="00E51BF1">
        <w:t xml:space="preserve">ck and bedroom categories for household complement </w:t>
      </w:r>
    </w:p>
    <w:p w:rsidR="00000000" w:rsidRPr="00E51BF1" w:rsidP="00E51BF1">
      <w:pPr>
        <w:pStyle w:val="ListBullet"/>
      </w:pPr>
      <w:r w:rsidRPr="00E51BF1">
        <w:t>factors that support resettlement and stabilisation</w:t>
      </w:r>
    </w:p>
    <w:p w:rsidR="00000000" w:rsidRPr="00E51BF1" w:rsidP="00E51BF1">
      <w:pPr>
        <w:pStyle w:val="ListBullet"/>
      </w:pPr>
      <w:r w:rsidRPr="00E51BF1">
        <w:t>Commonwealth and State or Territory privacy and confidentiality legislation</w:t>
      </w:r>
    </w:p>
    <w:p w:rsidR="00000000" w:rsidRPr="00E51BF1" w:rsidP="00E51BF1">
      <w:pPr>
        <w:pStyle w:val="ListBullet"/>
      </w:pPr>
      <w:r w:rsidRPr="00E51BF1">
        <w:t>social housing regulations and standards</w:t>
      </w:r>
    </w:p>
    <w:p w:rsidR="00000000" w:rsidRPr="00E51BF1" w:rsidP="00E51BF1">
      <w:pPr>
        <w:pStyle w:val="ListBullet"/>
      </w:pPr>
      <w:r w:rsidRPr="00E51BF1">
        <w:t xml:space="preserve">alternative housing support options: </w:t>
      </w:r>
    </w:p>
    <w:p w:rsidR="00000000" w:rsidRPr="00E51BF1" w:rsidP="00E51BF1">
      <w:pPr>
        <w:pStyle w:val="ListBullet2"/>
      </w:pPr>
      <w:r w:rsidRPr="00E51BF1">
        <w:t>mutual exchange</w:t>
      </w:r>
    </w:p>
    <w:p w:rsidR="00000000" w:rsidRPr="00E51BF1" w:rsidP="00E51BF1">
      <w:pPr>
        <w:pStyle w:val="ListBullet2"/>
      </w:pPr>
      <w:r w:rsidRPr="00E51BF1">
        <w:t>supported residential services</w:t>
      </w:r>
    </w:p>
    <w:p w:rsidR="00000000" w:rsidRPr="00E51BF1" w:rsidP="00E51BF1">
      <w:pPr>
        <w:pStyle w:val="ListBullet2"/>
      </w:pPr>
      <w:r w:rsidRPr="00E51BF1">
        <w:t>subsides</w:t>
      </w:r>
    </w:p>
    <w:p w:rsidR="00000000" w:rsidRPr="00E51BF1" w:rsidP="00E51BF1">
      <w:pPr>
        <w:pStyle w:val="ListBullet2"/>
      </w:pPr>
      <w:r w:rsidRPr="00E51BF1">
        <w:t>rental assistance scheme</w:t>
      </w:r>
    </w:p>
    <w:p w:rsidR="00000000" w:rsidRPr="00E51BF1" w:rsidP="00E51BF1">
      <w:pPr>
        <w:pStyle w:val="ListBullet2"/>
      </w:pPr>
      <w:r w:rsidRPr="00E51BF1">
        <w:t>referral to support agencies and equivalent.</w:t>
      </w:r>
    </w:p>
    <w:p w:rsidR="00000000" w:rsidRPr="00E51BF1" w:rsidP="00E51BF1">
      <w:pPr>
        <w:pStyle w:val="AllowPageBreak"/>
      </w:pPr>
    </w:p>
    <w:p w:rsidR="00000000" w:rsidRPr="00E51BF1" w:rsidP="00E51BF1">
      <w:pPr>
        <w:pStyle w:val="Heading1"/>
      </w:pPr>
      <w:bookmarkStart w:id="4" w:name="O_1181217"/>
      <w:bookmarkEnd w:id="4"/>
      <w:r w:rsidRPr="00E51BF1">
        <w:t>Assessment Conditions</w:t>
      </w:r>
    </w:p>
    <w:p w:rsidR="00000000" w:rsidRPr="00E51BF1" w:rsidP="00DE295F">
      <w:pPr>
        <w:pStyle w:val="BodyText"/>
      </w:pPr>
      <w:r w:rsidRPr="00E51BF1">
        <w:t>Skills must be demonstrated in the workplace or in</w:t>
      </w:r>
      <w:r w:rsidRPr="00E51BF1">
        <w:t xml:space="preserve"> a simulated environment that reflects workplace conditions.</w:t>
      </w:r>
    </w:p>
    <w:p w:rsidR="00000000" w:rsidRPr="00E51BF1" w:rsidP="00DE295F">
      <w:pPr>
        <w:pStyle w:val="BodyText"/>
      </w:pPr>
      <w:r w:rsidRPr="00E51BF1">
        <w:t>Assessment must ensure:</w:t>
      </w:r>
    </w:p>
    <w:p w:rsidR="00000000" w:rsidRPr="00E51BF1" w:rsidP="00E51BF1">
      <w:pPr>
        <w:pStyle w:val="ListBullet"/>
      </w:pPr>
      <w:r w:rsidRPr="00E51BF1">
        <w:t>access to suitable facilities, equipment and resources that reflect real working conditions and model industry operating conditions and contingencies</w:t>
      </w:r>
    </w:p>
    <w:p w:rsidR="00000000" w:rsidRPr="00E51BF1" w:rsidP="00E51BF1">
      <w:pPr>
        <w:pStyle w:val="ListBullet"/>
      </w:pPr>
      <w:r w:rsidRPr="00E51BF1">
        <w:t>access to organisati</w:t>
      </w:r>
      <w:r w:rsidRPr="00E51BF1">
        <w:t>onal policies and procedures</w:t>
      </w:r>
    </w:p>
    <w:p w:rsidR="00000000" w:rsidRPr="00E51BF1" w:rsidP="00E51BF1">
      <w:pPr>
        <w:pStyle w:val="ListBullet"/>
      </w:pPr>
      <w:r w:rsidRPr="00E51BF1">
        <w:t>opportunities for engagement with clients and multiple agencies.</w:t>
      </w:r>
    </w:p>
    <w:p w:rsidR="00000000" w:rsidRPr="00E51BF1" w:rsidP="00DE295F">
      <w:pPr>
        <w:pStyle w:val="BodyText"/>
      </w:pPr>
      <w:r w:rsidRPr="00E51BF1">
        <w:t>Assessors must satisfy the Standards for Registered Training Organisations’ requirements for assessors.</w:t>
      </w:r>
    </w:p>
    <w:p w:rsidR="00000000" w:rsidRPr="00E51BF1" w:rsidP="00E51BF1">
      <w:pPr>
        <w:pStyle w:val="Heading1"/>
      </w:pPr>
      <w:bookmarkStart w:id="5" w:name="O_1181220"/>
      <w:bookmarkEnd w:id="5"/>
      <w:r w:rsidRPr="00E51BF1">
        <w:t>Links</w:t>
      </w:r>
    </w:p>
    <w:p w:rsidR="00000000" w:rsidRPr="00E51BF1" w:rsidP="00DE295F">
      <w:pPr>
        <w:pStyle w:val="BodyText"/>
      </w:pPr>
      <w:r w:rsidRPr="00E51BF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DF0F9D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E51BF1" w:rsidP="00E51BF1"/>
    <w:sectPr w:rsidSect="00E51BF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1BF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1BF1" w:rsidRPr="00DE295F" w:rsidP="00DE295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1BF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295F" w:rsidP="00E51BF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E295F" w:rsidP="00E51BF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DE295F" w:rsidP="00E51BF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1BF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295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51BF1" w:rsidRPr="00DE295F" w:rsidP="00DE295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1BF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295F" w:rsidRPr="002D2AF8" w:rsidP="00E51BF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CHCSOH015 Manage housing application and allocation processes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July 2023</w:t>
    </w:r>
    <w:r>
      <w:fldChar w:fldCharType="end"/>
    </w:r>
  </w:p>
  <w:p w:rsidR="00DE295F" w:rsidP="00E51BF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836473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B10541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1B24DD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51BF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51BF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51BF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51BF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51BF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51BF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51BF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51BF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51BF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51BF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51BF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51BF1"/>
  </w:style>
  <w:style w:type="character" w:customStyle="1" w:styleId="Heading1Char">
    <w:name w:val="Heading 1 Char"/>
    <w:basedOn w:val="DefaultParagraphFont"/>
    <w:link w:val="Heading1"/>
    <w:rsid w:val="00E51BF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51BF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51BF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51BF1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E51BF1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51BF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51BF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51BF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51BF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51BF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51BF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51BF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51BF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51BF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51BF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51BF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51BF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51BF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51BF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51BF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51BF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51BF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51BF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51BF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51BF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51BF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51BF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51BF1"/>
    <w:rPr>
      <w:b/>
      <w:spacing w:val="0"/>
    </w:rPr>
  </w:style>
  <w:style w:type="paragraph" w:customStyle="1" w:styleId="SuperTitle">
    <w:name w:val="SuperTitle"/>
    <w:basedOn w:val="Title"/>
    <w:rsid w:val="00E51BF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51BF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51BF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51BF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51BF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51BF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51BF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51BF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51BF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51BF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51BF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51BF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51BF1"/>
    <w:rPr>
      <w:i/>
    </w:rPr>
  </w:style>
  <w:style w:type="paragraph" w:styleId="Caption">
    <w:name w:val="caption"/>
    <w:basedOn w:val="BodyText"/>
    <w:next w:val="Normal"/>
    <w:qFormat/>
    <w:rsid w:val="00E51BF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51BF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51BF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51BF1"/>
  </w:style>
  <w:style w:type="paragraph" w:styleId="TableofFigures">
    <w:name w:val="table of figures"/>
    <w:basedOn w:val="Normal"/>
    <w:next w:val="Normal"/>
    <w:semiHidden/>
    <w:rsid w:val="00E51BF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51BF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51BF1"/>
    <w:rPr>
      <w:rFonts w:ascii="Wingdings" w:hAnsi="Wingdings"/>
    </w:rPr>
  </w:style>
  <w:style w:type="paragraph" w:customStyle="1" w:styleId="TableHeading">
    <w:name w:val="Table Heading"/>
    <w:basedOn w:val="HeadingBase"/>
    <w:rsid w:val="00E51BF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51BF1"/>
    <w:rPr>
      <w:color w:val="0033CC"/>
      <w:u w:val="none"/>
    </w:rPr>
  </w:style>
  <w:style w:type="paragraph" w:customStyle="1" w:styleId="BodyTextRight">
    <w:name w:val="Body Text Right"/>
    <w:basedOn w:val="BodyText"/>
    <w:rsid w:val="00E51BF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51BF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51BF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51BF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51BF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51BF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51BF1"/>
    <w:rPr>
      <w:sz w:val="32"/>
    </w:rPr>
  </w:style>
  <w:style w:type="paragraph" w:customStyle="1" w:styleId="HeadingProcedure">
    <w:name w:val="Heading Procedure"/>
    <w:basedOn w:val="HeadingBase"/>
    <w:next w:val="Normal"/>
    <w:rsid w:val="00E51BF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51BF1"/>
    <w:pPr>
      <w:spacing w:before="60" w:after="60"/>
    </w:pPr>
  </w:style>
  <w:style w:type="paragraph" w:styleId="ListContinue">
    <w:name w:val="List Continue"/>
    <w:basedOn w:val="List"/>
    <w:rsid w:val="00E51BF1"/>
    <w:pPr>
      <w:ind w:firstLine="0"/>
    </w:pPr>
  </w:style>
  <w:style w:type="paragraph" w:customStyle="1" w:styleId="ListNote">
    <w:name w:val="List Note"/>
    <w:basedOn w:val="List"/>
    <w:rsid w:val="00E51BF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51BF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51BF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51BF1"/>
    <w:rPr>
      <w:rFonts w:ascii="Courier New" w:hAnsi="Courier New"/>
    </w:rPr>
  </w:style>
  <w:style w:type="paragraph" w:customStyle="1" w:styleId="NoteBullet">
    <w:name w:val="Note Bullet"/>
    <w:basedOn w:val="Note"/>
    <w:rsid w:val="00E51BF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51BF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51BF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51BF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51BF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51BF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51BF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51BF1"/>
    <w:rPr>
      <w:b/>
      <w:smallCaps/>
    </w:rPr>
  </w:style>
  <w:style w:type="paragraph" w:customStyle="1" w:styleId="TableListNumber">
    <w:name w:val="Table List Number"/>
    <w:basedOn w:val="ListNumber"/>
    <w:rsid w:val="00E51BF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51BF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51BF1"/>
    <w:pPr>
      <w:numPr>
        <w:numId w:val="9"/>
      </w:numPr>
    </w:pPr>
  </w:style>
  <w:style w:type="paragraph" w:customStyle="1" w:styleId="ListAlpha2">
    <w:name w:val="List Alpha 2"/>
    <w:basedOn w:val="List2"/>
    <w:rsid w:val="00E51BF1"/>
    <w:pPr>
      <w:numPr>
        <w:numId w:val="8"/>
      </w:numPr>
    </w:pPr>
  </w:style>
  <w:style w:type="paragraph" w:styleId="List2">
    <w:name w:val="List 2"/>
    <w:basedOn w:val="BodyText"/>
    <w:rsid w:val="00E51BF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51BF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51BF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51BF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51BF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51BF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51BF1"/>
    <w:pPr>
      <w:numPr>
        <w:numId w:val="4"/>
      </w:numPr>
    </w:pPr>
  </w:style>
  <w:style w:type="paragraph" w:styleId="ListContinue2">
    <w:name w:val="List Continue 2"/>
    <w:basedOn w:val="List2"/>
    <w:rsid w:val="00E51BF1"/>
    <w:pPr>
      <w:ind w:firstLine="0"/>
    </w:pPr>
  </w:style>
  <w:style w:type="paragraph" w:styleId="ListContinue3">
    <w:name w:val="List Continue 3"/>
    <w:basedOn w:val="List3"/>
    <w:rsid w:val="00E51BF1"/>
    <w:pPr>
      <w:ind w:left="1021" w:firstLine="0"/>
    </w:pPr>
  </w:style>
  <w:style w:type="paragraph" w:styleId="ListContinue4">
    <w:name w:val="List Continue 4"/>
    <w:basedOn w:val="List4"/>
    <w:rsid w:val="00E51BF1"/>
    <w:pPr>
      <w:ind w:firstLine="0"/>
    </w:pPr>
  </w:style>
  <w:style w:type="paragraph" w:styleId="ListContinue5">
    <w:name w:val="List Continue 5"/>
    <w:basedOn w:val="List5"/>
    <w:rsid w:val="00E51BF1"/>
    <w:pPr>
      <w:ind w:firstLine="0"/>
    </w:pPr>
  </w:style>
  <w:style w:type="paragraph" w:styleId="ListNumber3">
    <w:name w:val="List Number 3"/>
    <w:basedOn w:val="List3"/>
    <w:rsid w:val="00E51BF1"/>
    <w:pPr>
      <w:numPr>
        <w:numId w:val="5"/>
      </w:numPr>
    </w:pPr>
  </w:style>
  <w:style w:type="paragraph" w:styleId="ListNumber4">
    <w:name w:val="List Number 4"/>
    <w:basedOn w:val="List4"/>
    <w:rsid w:val="00E51BF1"/>
    <w:pPr>
      <w:numPr>
        <w:numId w:val="6"/>
      </w:numPr>
    </w:pPr>
  </w:style>
  <w:style w:type="paragraph" w:styleId="ListNumber5">
    <w:name w:val="List Number 5"/>
    <w:basedOn w:val="List5"/>
    <w:rsid w:val="00E51BF1"/>
    <w:pPr>
      <w:numPr>
        <w:numId w:val="7"/>
      </w:numPr>
    </w:pPr>
  </w:style>
  <w:style w:type="paragraph" w:styleId="BlockText">
    <w:name w:val="Block Text"/>
    <w:basedOn w:val="Normal"/>
    <w:rsid w:val="00E51BF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51BF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51BF1"/>
    <w:rPr>
      <w:sz w:val="16"/>
      <w:vertAlign w:val="superscript"/>
    </w:rPr>
  </w:style>
  <w:style w:type="character" w:customStyle="1" w:styleId="Symbols">
    <w:name w:val="Symbols"/>
    <w:basedOn w:val="DefaultParagraphFont"/>
    <w:rsid w:val="00E51BF1"/>
    <w:rPr>
      <w:rFonts w:ascii="Symbol" w:hAnsi="Symbol"/>
    </w:rPr>
  </w:style>
  <w:style w:type="character" w:customStyle="1" w:styleId="MenuOptions">
    <w:name w:val="Menu Options"/>
    <w:basedOn w:val="DefaultParagraphFont"/>
    <w:rsid w:val="00E51BF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51BF1"/>
    <w:rPr>
      <w:b/>
    </w:rPr>
  </w:style>
  <w:style w:type="character" w:customStyle="1" w:styleId="Underlined">
    <w:name w:val="Underlined"/>
    <w:basedOn w:val="DefaultParagraphFont"/>
    <w:rsid w:val="00E51BF1"/>
    <w:rPr>
      <w:u w:val="single"/>
    </w:rPr>
  </w:style>
  <w:style w:type="paragraph" w:customStyle="1" w:styleId="TableBodyTextRight">
    <w:name w:val="Table Body Text Right"/>
    <w:basedOn w:val="TableBodyText"/>
    <w:rsid w:val="00E51BF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51BF1"/>
    <w:rPr>
      <w:sz w:val="18"/>
    </w:rPr>
  </w:style>
  <w:style w:type="paragraph" w:customStyle="1" w:styleId="BodySmallRight">
    <w:name w:val="Body Small Right"/>
    <w:basedOn w:val="BodyTextRight"/>
    <w:rsid w:val="00E51BF1"/>
    <w:rPr>
      <w:sz w:val="18"/>
      <w:szCs w:val="18"/>
    </w:rPr>
  </w:style>
  <w:style w:type="paragraph" w:customStyle="1" w:styleId="MarginEdition">
    <w:name w:val="Margin Edition"/>
    <w:basedOn w:val="MarginNote"/>
    <w:rsid w:val="00E51BF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51BF1"/>
    <w:rPr>
      <w:sz w:val="2"/>
      <w:szCs w:val="2"/>
    </w:rPr>
  </w:style>
  <w:style w:type="character" w:customStyle="1" w:styleId="Small">
    <w:name w:val="Small"/>
    <w:basedOn w:val="DefaultParagraphFont"/>
    <w:rsid w:val="00E51BF1"/>
    <w:rPr>
      <w:sz w:val="16"/>
    </w:rPr>
  </w:style>
  <w:style w:type="paragraph" w:customStyle="1" w:styleId="WideTable">
    <w:name w:val="Wide Table"/>
    <w:basedOn w:val="Normal"/>
    <w:rsid w:val="00E51BF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51BF1"/>
  </w:style>
  <w:style w:type="paragraph" w:styleId="Quote">
    <w:name w:val="Quote"/>
    <w:basedOn w:val="Heading1"/>
    <w:link w:val="QuoteChar"/>
    <w:qFormat/>
    <w:rsid w:val="00E51BF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51BF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51BF1"/>
    <w:pPr>
      <w:pageBreakBefore/>
    </w:pPr>
  </w:style>
  <w:style w:type="paragraph" w:customStyle="1" w:styleId="Border">
    <w:name w:val="Border"/>
    <w:basedOn w:val="Normal"/>
    <w:qFormat/>
    <w:rsid w:val="00E51BF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51BF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51BF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51BF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51BF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51BF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51BF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51BF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51BF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51BF1"/>
    <w:rPr>
      <w:u w:val="single"/>
    </w:rPr>
  </w:style>
  <w:style w:type="character" w:customStyle="1" w:styleId="BoldandItalics">
    <w:name w:val="Bold and Italics"/>
    <w:qFormat/>
    <w:rsid w:val="00E51BF1"/>
    <w:rPr>
      <w:b/>
      <w:i/>
      <w:u w:val="none"/>
    </w:rPr>
  </w:style>
  <w:style w:type="paragraph" w:styleId="BalloonText">
    <w:name w:val="Balloon Text"/>
    <w:basedOn w:val="Normal"/>
    <w:link w:val="BalloonTextChar"/>
    <w:rsid w:val="00E51BF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51BF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51BF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51BF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51BF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51BF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51BF1"/>
    <w:pPr>
      <w:spacing w:before="0" w:after="0"/>
    </w:pPr>
  </w:style>
  <w:style w:type="paragraph" w:customStyle="1" w:styleId="BodyTextBold">
    <w:name w:val="Body Text Bold"/>
    <w:basedOn w:val="BodyText"/>
    <w:qFormat/>
    <w:rsid w:val="00E51BF1"/>
    <w:rPr>
      <w:b/>
    </w:rPr>
  </w:style>
  <w:style w:type="character" w:styleId="Hyperlink">
    <w:name w:val="Hyperlink"/>
    <w:basedOn w:val="DefaultParagraphFont"/>
    <w:uiPriority w:val="99"/>
    <w:unhideWhenUsed/>
    <w:rsid w:val="00DE295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376</Words>
  <Characters>2804</Characters>
  <Application>Microsoft Office Word</Application>
  <DocSecurity>0</DocSecurity>
  <Lines>82</Lines>
  <Paragraphs>69</Paragraphs>
  <ScaleCrop>false</ScaleCrop>
  <Company>Author-it Software Corporation Ltd.</Company>
  <LinksUpToDate>false</LinksUpToDate>
  <CharactersWithSpaces>3111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CHCSOH015 Manage housing application and allocation processes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2023-07-02T02:18:00Z</dcterms:created>
  <dcterms:modified xsi:type="dcterms:W3CDTF">2023-07-02T02:18:00Z</dcterms:modified>
</cp:coreProperties>
</file>