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127" w:rsidP="006B4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CHCSOH002 Manage and maintain tenancy agreements and services</w:t>
      </w:r>
      <w:r>
        <w:fldChar w:fldCharType="end"/>
      </w:r>
    </w:p>
    <w:p w:rsidR="006B4127" w:rsidP="006B4127">
      <w:pPr>
        <w:pStyle w:val="Version"/>
        <w:sectPr w:rsidSect="003D2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2F4" w:rsidP="003D22F4">
      <w:pPr>
        <w:pStyle w:val="SuperHeading"/>
      </w:pPr>
      <w:r w:rsidRPr="003D22F4">
        <w:t>CHCSOH002 Manage and maintain tenancy agreements and services</w:t>
      </w:r>
    </w:p>
    <w:p w:rsidR="00000000" w:rsidRPr="003D22F4" w:rsidP="003D22F4">
      <w:pPr>
        <w:pStyle w:val="Heading1"/>
      </w:pPr>
      <w:bookmarkStart w:id="1" w:name="O_655019"/>
      <w:bookmarkEnd w:id="1"/>
      <w:r w:rsidRPr="003D22F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6B4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 xml:space="preserve">Comments </w:t>
            </w:r>
          </w:p>
        </w:tc>
      </w:tr>
      <w:tr w:rsidTr="006B4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 xml:space="preserve">This version was released in </w:t>
            </w:r>
            <w:r w:rsidRPr="003D22F4">
              <w:rPr>
                <w:rStyle w:val="Emphasis"/>
              </w:rPr>
              <w:t>CHC Community Services Training Package release 2.0</w:t>
            </w:r>
            <w:r w:rsidRPr="003D22F4">
              <w:t xml:space="preserve"> and meets the requirements of the 2012 Standards for Training Packages.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Significant changes to performance criteria </w:t>
            </w:r>
          </w:p>
          <w:p w:rsidR="00000000" w:rsidRPr="003D22F4" w:rsidP="003D22F4">
            <w:pPr>
              <w:pStyle w:val="BodyText"/>
            </w:pPr>
            <w:r w:rsidRPr="003D22F4">
              <w:t>New evidence requirements for assessment including volume and frequency requirements</w:t>
            </w:r>
          </w:p>
          <w:p w:rsidR="00000000" w:rsidRPr="003D22F4" w:rsidP="003D22F4">
            <w:pPr>
              <w:pStyle w:val="BodyText"/>
            </w:pPr>
            <w:r w:rsidRPr="003D22F4">
              <w:t>Significant changes to knowledge evidence</w:t>
            </w:r>
          </w:p>
          <w:p w:rsidR="00000000" w:rsidRPr="003D22F4" w:rsidP="003D22F4">
            <w:pPr>
              <w:pStyle w:val="BodyText"/>
            </w:pPr>
          </w:p>
        </w:tc>
      </w:tr>
    </w:tbl>
    <w:p w:rsidR="00000000" w:rsidRPr="003D22F4" w:rsidP="003D22F4">
      <w:pPr>
        <w:pStyle w:val="BodyText"/>
      </w:pPr>
    </w:p>
    <w:p w:rsidR="00000000" w:rsidRPr="003D22F4" w:rsidP="003D22F4">
      <w:pPr>
        <w:pStyle w:val="AllowPageBreak"/>
      </w:pPr>
    </w:p>
    <w:p w:rsidR="00000000" w:rsidRPr="003D22F4" w:rsidP="003D22F4">
      <w:pPr>
        <w:pStyle w:val="Heading1"/>
      </w:pPr>
      <w:bookmarkStart w:id="2" w:name="O_655020"/>
      <w:bookmarkEnd w:id="2"/>
      <w:r w:rsidRPr="003D22F4">
        <w:t>Application</w:t>
      </w:r>
    </w:p>
    <w:p w:rsidR="00000000" w:rsidRPr="003D22F4" w:rsidP="006B4127">
      <w:pPr>
        <w:pStyle w:val="BodyText"/>
      </w:pPr>
      <w:r w:rsidRPr="003D22F4">
        <w:t>This unit describes the skills and knowledge require</w:t>
      </w:r>
      <w:r w:rsidRPr="003D22F4">
        <w:t xml:space="preserve">d to manage tenancy agreements and associated housing services.   </w:t>
      </w:r>
    </w:p>
    <w:p w:rsidR="00000000" w:rsidRPr="003D22F4" w:rsidP="006B4127">
      <w:pPr>
        <w:pStyle w:val="BodyText"/>
      </w:pPr>
      <w:r w:rsidRPr="003D22F4">
        <w:t>This unit applies to work in a social housing context in agencies responsible for sustainable tenancy management. Workers are required to exercise judgement and sensitivity when working wi</w:t>
      </w:r>
      <w:r w:rsidRPr="003D22F4">
        <w:t xml:space="preserve">th clients within clearly defined processes and procedures. </w:t>
      </w:r>
    </w:p>
    <w:p w:rsidR="006B4127" w:rsidRPr="006B4127" w:rsidP="006B4127">
      <w:pPr>
        <w:pStyle w:val="BodyText"/>
        <w:rPr>
          <w:i/>
        </w:rPr>
      </w:pPr>
      <w:r w:rsidRPr="006B4127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3D22F4" w:rsidP="003D22F4">
      <w:pPr>
        <w:pStyle w:val="Heading1"/>
      </w:pPr>
      <w:bookmarkStart w:id="3" w:name="O_655024"/>
      <w:bookmarkEnd w:id="3"/>
      <w:r w:rsidRPr="003D22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rPr>
                <w:rStyle w:val="SpecialBold"/>
              </w:rPr>
              <w:t>PERFORMANCE CRITERIA</w:t>
            </w: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1. Complete tenancy agreement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>1.1 Schedule suitable appo</w:t>
            </w:r>
            <w:r w:rsidRPr="003D22F4">
              <w:t>intment time for signing documents and organise interpreters, according to client needs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1.2 Complete written property conditions report </w:t>
            </w:r>
          </w:p>
          <w:p w:rsidR="00000000" w:rsidRPr="003D22F4" w:rsidP="003D22F4">
            <w:pPr>
              <w:pStyle w:val="BodyText"/>
            </w:pPr>
            <w:r w:rsidRPr="003D22F4">
              <w:t>1.3 Inform clients of money and other documentation required prior to sign-up</w:t>
            </w:r>
          </w:p>
          <w:p w:rsidR="00000000" w:rsidRPr="003D22F4" w:rsidP="003D22F4">
            <w:pPr>
              <w:pStyle w:val="BodyText"/>
            </w:pPr>
            <w:r w:rsidRPr="003D22F4">
              <w:t>1.4 Advise clients of the rebate and rent</w:t>
            </w:r>
            <w:r w:rsidRPr="003D22F4">
              <w:t xml:space="preserve">al payment options 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1.5 Address all legal requirements in respect of executing agreements </w:t>
            </w:r>
          </w:p>
          <w:p w:rsidR="00000000" w:rsidRPr="003D22F4" w:rsidP="003D22F4">
            <w:pPr>
              <w:pStyle w:val="BodyText"/>
            </w:pPr>
            <w:r w:rsidRPr="003D22F4">
              <w:t>1.6 Organise documentation and legal representation for ‘under age’ client prior to signing tenancy agreement</w:t>
            </w:r>
          </w:p>
          <w:p w:rsidR="00000000" w:rsidP="003D22F4">
            <w:pPr>
              <w:pStyle w:val="BodyText"/>
              <w:rPr>
                <w:lang w:val="en-NZ"/>
              </w:rPr>
            </w:pP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2. Explain the policies and procedures to new tenants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>2.1 Provide information on rent payment systems and housing providers expectations with regard to tenant rent payment and arrears</w:t>
            </w:r>
          </w:p>
          <w:p w:rsidR="00000000" w:rsidRPr="003D22F4" w:rsidP="003D22F4">
            <w:pPr>
              <w:pStyle w:val="BodyText"/>
            </w:pPr>
            <w:r w:rsidRPr="003D22F4">
              <w:t>2.2 Provide information to new tenants on rental bonds, in accordance with the organisations policies and procedures and rent</w:t>
            </w:r>
            <w:r w:rsidRPr="003D22F4">
              <w:t xml:space="preserve">al bond legislation </w:t>
            </w:r>
          </w:p>
          <w:p w:rsidR="00000000" w:rsidRPr="003D22F4" w:rsidP="003D22F4">
            <w:pPr>
              <w:pStyle w:val="BodyText"/>
            </w:pPr>
            <w:r w:rsidRPr="003D22F4">
              <w:t>2.3 Explain the maintenance system, rental rebate system, grievance procedures and any other services provided by the organisation to new tenants</w:t>
            </w:r>
          </w:p>
          <w:p w:rsidR="00000000" w:rsidP="003D22F4">
            <w:pPr>
              <w:pStyle w:val="BodyText"/>
              <w:rPr>
                <w:lang w:val="en-NZ"/>
              </w:rPr>
            </w:pP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3. Recognise crisis and the need for immediate intervention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>3.1 Respond appropriately t</w:t>
            </w:r>
            <w:r w:rsidRPr="003D22F4">
              <w:t>o individuals who are experiencing homelessness or who are at risk of becoming homeless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3.2 Utilise specialist expertise of other agencies and community services 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3.3 Identify crisis situations and follow organisation’s intervention procedures 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3.4 Comply </w:t>
            </w:r>
            <w:r w:rsidRPr="003D22F4">
              <w:t>with legal and duty of care requirements when dealing with young people who are experiencing or at risk of becoming homeless</w:t>
            </w:r>
          </w:p>
          <w:p w:rsidR="00000000" w:rsidRPr="003D22F4" w:rsidP="003D22F4">
            <w:pPr>
              <w:pStyle w:val="BodyText"/>
            </w:pPr>
            <w:r w:rsidRPr="003D22F4">
              <w:t>3.5 Make appropriate referrals for individuals who are experiencing homelessness or who are at risk of becoming homeless</w:t>
            </w:r>
          </w:p>
          <w:p w:rsidR="00000000" w:rsidP="003D22F4">
            <w:pPr>
              <w:pStyle w:val="BodyText"/>
              <w:rPr>
                <w:lang w:val="en-NZ"/>
              </w:rPr>
            </w:pP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4. Facil</w:t>
            </w:r>
            <w:r w:rsidRPr="003D22F4">
              <w:t>itate landlord and tenant responsibilities (per the tenancy agreement)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>4.1 Follow organisation’s procedures for inspections, maintenance and complaints handling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4.2 Manage rental accounts in accordance with current </w:t>
            </w:r>
            <w:r w:rsidRPr="003D22F4">
              <w:t>guidelines</w:t>
            </w:r>
          </w:p>
          <w:p w:rsidR="00000000" w:rsidRPr="003D22F4" w:rsidP="003D22F4">
            <w:pPr>
              <w:pStyle w:val="BodyText"/>
            </w:pPr>
            <w:r w:rsidRPr="003D22F4">
              <w:t>4.3 Manage rental bonds in acc</w:t>
            </w:r>
            <w:r w:rsidRPr="003D22F4">
              <w:t>ordance with organisations policies and relevant legislation</w:t>
            </w:r>
          </w:p>
          <w:p w:rsidR="00000000" w:rsidRPr="003D22F4" w:rsidP="003D22F4">
            <w:pPr>
              <w:pStyle w:val="BodyText"/>
            </w:pPr>
            <w:r w:rsidRPr="003D22F4">
              <w:t>4.4 Monitor and act upon nuisance and annoyance incidents in accordance with organisation guidelines</w:t>
            </w:r>
          </w:p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 xml:space="preserve">4.5 Inform clients and landlords of their rights and responsibilities </w:t>
            </w: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5. Respond with sensit</w:t>
            </w:r>
            <w:r w:rsidRPr="003D22F4">
              <w:t>ivity to tenant’s changing needs and circumstances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 xml:space="preserve">5.1 Implement criteria for succession to proceed 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5.2 Request and review supporting documentation </w:t>
            </w:r>
          </w:p>
          <w:p w:rsidR="00000000" w:rsidRPr="003D22F4" w:rsidP="003D22F4">
            <w:pPr>
              <w:pStyle w:val="BodyText"/>
            </w:pPr>
            <w:r w:rsidRPr="003D22F4">
              <w:t>5.3 Check supporting documentation for accuracy and use in decision-making process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5.4 Identify asset management issues </w:t>
            </w:r>
          </w:p>
          <w:p w:rsidR="00000000" w:rsidP="003D22F4">
            <w:pPr>
              <w:pStyle w:val="BodyText"/>
              <w:rPr>
                <w:lang w:val="en-NZ"/>
              </w:rPr>
            </w:pP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 xml:space="preserve">6. Manage tenancy termination processes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 xml:space="preserve">6.1 Determine reasons for tenancy termination </w:t>
            </w:r>
          </w:p>
          <w:p w:rsidR="00000000" w:rsidRPr="003D22F4" w:rsidP="003D22F4">
            <w:pPr>
              <w:pStyle w:val="BodyText"/>
            </w:pPr>
            <w:r w:rsidRPr="003D22F4">
              <w:t>6.2 Follow organisation procedures and legal processes for termination</w:t>
            </w:r>
          </w:p>
          <w:p w:rsidR="00000000" w:rsidRPr="003D22F4" w:rsidP="003D22F4">
            <w:pPr>
              <w:pStyle w:val="BodyText"/>
            </w:pPr>
            <w:r w:rsidRPr="003D22F4">
              <w:t>6.3 Maintain client confidentiality within organisation p</w:t>
            </w:r>
            <w:r w:rsidRPr="003D22F4">
              <w:t>olicies and procedures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6.4 Assist tenants, according to needs, including referrals to appropriate tenant, advocate and/or legal representation </w:t>
            </w:r>
          </w:p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6.5 Complete all termination documentation and filing in accordance with role</w:t>
            </w: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 xml:space="preserve">7. Manage eviction process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>7.1 N</w:t>
            </w:r>
            <w:r w:rsidRPr="003D22F4">
              <w:t>egotiate with tenant advocates and/or legal representatives</w:t>
            </w:r>
          </w:p>
          <w:p w:rsidR="00000000" w:rsidRPr="003D22F4" w:rsidP="003D22F4">
            <w:pPr>
              <w:pStyle w:val="BodyText"/>
            </w:pPr>
            <w:r w:rsidRPr="003D22F4">
              <w:t>7.2 Follow eviction procedures of organisation</w:t>
            </w:r>
          </w:p>
          <w:p w:rsidR="00000000" w:rsidP="003D22F4">
            <w:pPr>
              <w:pStyle w:val="BodyText"/>
              <w:rPr>
                <w:lang w:val="en-NZ"/>
              </w:rPr>
            </w:pP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 xml:space="preserve">8. Facilitate appeal process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 xml:space="preserve">8.1 Provide client with a clear explanation of appeal process and encourage clients to present all facts relevant to </w:t>
            </w:r>
            <w:r w:rsidRPr="003D22F4">
              <w:t>appeal</w:t>
            </w:r>
          </w:p>
          <w:p w:rsidR="00000000" w:rsidRPr="003D22F4" w:rsidP="003D22F4">
            <w:pPr>
              <w:pStyle w:val="BodyText"/>
            </w:pPr>
            <w:r w:rsidRPr="003D22F4">
              <w:t>8.2 Gather information on changes in circumstances and use to inform appeal process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8.3 Arrange an interview for further information, if necessary, and assess the need for an interpreter or advocate </w:t>
            </w:r>
          </w:p>
          <w:p w:rsidR="00000000" w:rsidRPr="003D22F4" w:rsidP="003D22F4">
            <w:pPr>
              <w:pStyle w:val="BodyText"/>
            </w:pPr>
            <w:r w:rsidRPr="003D22F4">
              <w:t>8.4 Review facts obtained previously and make dec</w:t>
            </w:r>
            <w:r w:rsidRPr="003D22F4">
              <w:t>ision as per delegation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8.5 Document appeals decision </w:t>
            </w:r>
          </w:p>
          <w:p w:rsidR="00000000" w:rsidP="003D22F4">
            <w:pPr>
              <w:pStyle w:val="BodyText"/>
              <w:rPr>
                <w:lang w:val="en-NZ"/>
              </w:rPr>
            </w:pP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9. Take appropriate action in response to a complaint about tenant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 xml:space="preserve">9.1 Investigate complaint and determine if the client has attempted to resolve the problem </w:t>
            </w:r>
          </w:p>
          <w:p w:rsidR="00000000" w:rsidRPr="003D22F4" w:rsidP="003D22F4">
            <w:pPr>
              <w:pStyle w:val="BodyText"/>
            </w:pPr>
            <w:r w:rsidRPr="003D22F4">
              <w:t>9.2 Decide whether intervention should be taken by organisation</w:t>
            </w:r>
          </w:p>
          <w:p w:rsidR="00000000" w:rsidRPr="003D22F4" w:rsidP="003D22F4">
            <w:pPr>
              <w:pStyle w:val="BodyText"/>
            </w:pPr>
            <w:r w:rsidRPr="003D22F4">
              <w:t>9.3 Document case if decision is made that the organisation should intervene</w:t>
            </w:r>
          </w:p>
          <w:p w:rsidR="00000000" w:rsidRPr="003D22F4" w:rsidP="003D22F4">
            <w:pPr>
              <w:pStyle w:val="BodyText"/>
            </w:pPr>
            <w:r w:rsidRPr="003D22F4">
              <w:t>9.4 Gather information, reports, documentation and feedback from tenants, neighbours, colleagues, police and tenant</w:t>
            </w:r>
            <w:r w:rsidRPr="003D22F4">
              <w:t xml:space="preserve"> groups 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9.5 Write and file a comprehensive record of complaint and action taken </w:t>
            </w:r>
          </w:p>
          <w:p w:rsidR="00000000" w:rsidP="003D22F4">
            <w:pPr>
              <w:pStyle w:val="BodyText"/>
              <w:rPr>
                <w:lang w:val="en-NZ"/>
              </w:rPr>
            </w:pPr>
          </w:p>
        </w:tc>
      </w:tr>
      <w:tr w:rsidTr="006B4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10. Resolve problems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t xml:space="preserve">10.1 Consult with relevant people and agencies in accordance with confidentiality requirements 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10.2 Identify all options </w:t>
            </w:r>
          </w:p>
          <w:p w:rsidR="00000000" w:rsidRPr="003D22F4" w:rsidP="003D22F4">
            <w:pPr>
              <w:pStyle w:val="BodyText"/>
            </w:pPr>
            <w:r w:rsidRPr="003D22F4">
              <w:t>10.3 Mediate between involve</w:t>
            </w:r>
            <w:r w:rsidRPr="003D22F4">
              <w:t>d parties in an attempt to reach mutually accepted resolutions</w:t>
            </w:r>
          </w:p>
          <w:p w:rsidR="00000000" w:rsidRPr="003D22F4" w:rsidP="003D22F4">
            <w:pPr>
              <w:pStyle w:val="BodyText"/>
            </w:pPr>
            <w:r w:rsidRPr="003D22F4">
              <w:t xml:space="preserve">10.4 Adhere to legal responsibility of reporting alleged criminal behaviour </w:t>
            </w:r>
          </w:p>
        </w:tc>
      </w:tr>
    </w:tbl>
    <w:p w:rsidR="006B4127" w:rsidP="003D22F4">
      <w:pPr>
        <w:pStyle w:val="BodyText"/>
      </w:pPr>
    </w:p>
    <w:p w:rsidR="006B4127" w:rsidP="003D22F4">
      <w:pPr>
        <w:pStyle w:val="BodyText"/>
      </w:pPr>
    </w:p>
    <w:p w:rsidR="00000000" w:rsidRPr="003D22F4" w:rsidP="003D22F4">
      <w:pPr>
        <w:pStyle w:val="Heading1"/>
      </w:pPr>
      <w:bookmarkStart w:id="4" w:name="O_655025"/>
      <w:bookmarkEnd w:id="4"/>
      <w:r w:rsidRPr="003D22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3D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F4">
            <w:pPr>
              <w:pStyle w:val="BodyText"/>
              <w:rPr>
                <w:lang w:val="en-NZ"/>
              </w:rPr>
            </w:pPr>
            <w:r w:rsidRPr="003D22F4">
              <w:t>The Foundation Skills describe those required skills (employability skills, la</w:t>
            </w:r>
            <w:r w:rsidRPr="003D22F4">
              <w:t>nguage, literacy and numeracy) that are essential to performance.</w:t>
            </w:r>
          </w:p>
        </w:tc>
      </w:tr>
      <w:tr w:rsidTr="003D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F4" w:rsidP="003D22F4">
            <w:pPr>
              <w:pStyle w:val="BodyText"/>
            </w:pPr>
            <w:r w:rsidRPr="003D22F4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6B4127" w:rsidP="003D22F4">
      <w:pPr>
        <w:pStyle w:val="BodyText"/>
      </w:pPr>
    </w:p>
    <w:p w:rsidR="006B4127" w:rsidP="003D22F4">
      <w:pPr>
        <w:pStyle w:val="BodyText"/>
      </w:pPr>
    </w:p>
    <w:p w:rsidR="00000000" w:rsidRPr="003D22F4" w:rsidP="003D22F4">
      <w:pPr>
        <w:pStyle w:val="Heading1"/>
      </w:pPr>
      <w:bookmarkStart w:id="5" w:name="O_655027"/>
      <w:bookmarkEnd w:id="5"/>
      <w:r w:rsidRPr="003D22F4">
        <w:t>Unit Mapping Information</w:t>
      </w:r>
    </w:p>
    <w:p w:rsidR="006B4127" w:rsidP="006B4127">
      <w:pPr>
        <w:pStyle w:val="BodyText"/>
      </w:pPr>
      <w:r w:rsidRPr="003D22F4">
        <w:t>No equivalent unit.</w:t>
      </w:r>
    </w:p>
    <w:p w:rsidR="00000000" w:rsidRPr="003D22F4" w:rsidP="003D22F4">
      <w:pPr>
        <w:pStyle w:val="Heading1"/>
      </w:pPr>
      <w:bookmarkStart w:id="6" w:name="O_655034"/>
      <w:bookmarkEnd w:id="6"/>
      <w:r w:rsidRPr="003D22F4">
        <w:t>Links</w:t>
      </w:r>
    </w:p>
    <w:p w:rsidR="00000000" w:rsidRPr="003D22F4" w:rsidP="006B4127">
      <w:pPr>
        <w:pStyle w:val="BodyText"/>
      </w:pPr>
      <w:r w:rsidRPr="003D2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74BC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D22F4" w:rsidP="003D22F4"/>
    <w:sectPr w:rsidSect="003D2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F4" w:rsidRPr="006B4127" w:rsidP="006B4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127" w:rsidP="003D2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127" w:rsidP="003D2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4127" w:rsidP="003D2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2F4" w:rsidRPr="006B4127" w:rsidP="006B4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127" w:rsidRPr="002D2AF8" w:rsidP="003D2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CHCSOH002 Manage and maintain tenancy agreements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B4127" w:rsidP="003D2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2F4"/>
  </w:style>
  <w:style w:type="character" w:customStyle="1" w:styleId="Heading1Char">
    <w:name w:val="Heading 1 Char"/>
    <w:basedOn w:val="DefaultParagraphFont"/>
    <w:link w:val="Heading1"/>
    <w:rsid w:val="003D2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2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22F4"/>
    <w:rPr>
      <w:b/>
      <w:spacing w:val="0"/>
    </w:rPr>
  </w:style>
  <w:style w:type="character" w:styleId="Emphasis">
    <w:name w:val="Emphasis"/>
    <w:basedOn w:val="DefaultParagraphFont"/>
    <w:qFormat/>
    <w:rsid w:val="003D22F4"/>
    <w:rPr>
      <w:i/>
    </w:rPr>
  </w:style>
  <w:style w:type="paragraph" w:customStyle="1" w:styleId="SuperHeading">
    <w:name w:val="SuperHeading"/>
    <w:basedOn w:val="Normal"/>
    <w:rsid w:val="003D2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2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2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2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2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2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2F4"/>
  </w:style>
  <w:style w:type="paragraph" w:styleId="TableofFigures">
    <w:name w:val="table of figures"/>
    <w:basedOn w:val="Normal"/>
    <w:next w:val="Normal"/>
    <w:semiHidden/>
    <w:rsid w:val="003D2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2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22F4"/>
    <w:rPr>
      <w:rFonts w:ascii="Wingdings" w:hAnsi="Wingdings"/>
    </w:rPr>
  </w:style>
  <w:style w:type="paragraph" w:customStyle="1" w:styleId="TableHeading">
    <w:name w:val="Table Heading"/>
    <w:basedOn w:val="HeadingBase"/>
    <w:rsid w:val="003D2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2F4"/>
    <w:rPr>
      <w:color w:val="0033CC"/>
      <w:u w:val="none"/>
    </w:rPr>
  </w:style>
  <w:style w:type="paragraph" w:customStyle="1" w:styleId="BodyTextRight">
    <w:name w:val="Body Text Right"/>
    <w:basedOn w:val="BodyText"/>
    <w:rsid w:val="003D2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2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2F4"/>
    <w:rPr>
      <w:sz w:val="32"/>
    </w:rPr>
  </w:style>
  <w:style w:type="paragraph" w:customStyle="1" w:styleId="HeadingProcedure">
    <w:name w:val="Heading Procedure"/>
    <w:basedOn w:val="HeadingBase"/>
    <w:next w:val="Normal"/>
    <w:rsid w:val="003D2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2F4"/>
    <w:pPr>
      <w:spacing w:before="60" w:after="60"/>
    </w:pPr>
  </w:style>
  <w:style w:type="paragraph" w:styleId="ListContinue">
    <w:name w:val="List Continue"/>
    <w:basedOn w:val="List"/>
    <w:rsid w:val="003D22F4"/>
    <w:pPr>
      <w:ind w:firstLine="0"/>
    </w:pPr>
  </w:style>
  <w:style w:type="paragraph" w:customStyle="1" w:styleId="ListNote">
    <w:name w:val="List Note"/>
    <w:basedOn w:val="List"/>
    <w:rsid w:val="003D2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2F4"/>
    <w:rPr>
      <w:rFonts w:ascii="Courier New" w:hAnsi="Courier New"/>
    </w:rPr>
  </w:style>
  <w:style w:type="paragraph" w:customStyle="1" w:styleId="NoteBullet">
    <w:name w:val="Note Bullet"/>
    <w:basedOn w:val="Note"/>
    <w:rsid w:val="003D2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2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2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2F4"/>
    <w:rPr>
      <w:b/>
      <w:smallCaps/>
    </w:rPr>
  </w:style>
  <w:style w:type="paragraph" w:customStyle="1" w:styleId="TableListNumber">
    <w:name w:val="Table List Number"/>
    <w:basedOn w:val="ListNumber"/>
    <w:rsid w:val="003D2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2F4"/>
    <w:pPr>
      <w:numPr>
        <w:numId w:val="7"/>
      </w:numPr>
    </w:pPr>
  </w:style>
  <w:style w:type="paragraph" w:customStyle="1" w:styleId="ListAlpha2">
    <w:name w:val="List Alpha 2"/>
    <w:basedOn w:val="List2"/>
    <w:rsid w:val="003D22F4"/>
    <w:pPr>
      <w:numPr>
        <w:numId w:val="6"/>
      </w:numPr>
    </w:pPr>
  </w:style>
  <w:style w:type="paragraph" w:styleId="List2">
    <w:name w:val="List 2"/>
    <w:basedOn w:val="BodyText"/>
    <w:rsid w:val="003D2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2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2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22F4"/>
    <w:pPr>
      <w:numPr>
        <w:numId w:val="2"/>
      </w:numPr>
    </w:pPr>
  </w:style>
  <w:style w:type="paragraph" w:styleId="ListContinue2">
    <w:name w:val="List Continue 2"/>
    <w:basedOn w:val="List2"/>
    <w:rsid w:val="003D22F4"/>
    <w:pPr>
      <w:ind w:firstLine="0"/>
    </w:pPr>
  </w:style>
  <w:style w:type="paragraph" w:styleId="ListContinue3">
    <w:name w:val="List Continue 3"/>
    <w:basedOn w:val="List3"/>
    <w:rsid w:val="003D22F4"/>
    <w:pPr>
      <w:ind w:left="1021" w:firstLine="0"/>
    </w:pPr>
  </w:style>
  <w:style w:type="paragraph" w:styleId="ListContinue4">
    <w:name w:val="List Continue 4"/>
    <w:basedOn w:val="List4"/>
    <w:rsid w:val="003D22F4"/>
    <w:pPr>
      <w:ind w:firstLine="0"/>
    </w:pPr>
  </w:style>
  <w:style w:type="paragraph" w:styleId="ListContinue5">
    <w:name w:val="List Continue 5"/>
    <w:basedOn w:val="List5"/>
    <w:rsid w:val="003D22F4"/>
    <w:pPr>
      <w:ind w:firstLine="0"/>
    </w:pPr>
  </w:style>
  <w:style w:type="paragraph" w:styleId="ListNumber3">
    <w:name w:val="List Number 3"/>
    <w:basedOn w:val="List3"/>
    <w:rsid w:val="003D22F4"/>
    <w:pPr>
      <w:numPr>
        <w:numId w:val="3"/>
      </w:numPr>
    </w:pPr>
  </w:style>
  <w:style w:type="paragraph" w:styleId="ListNumber4">
    <w:name w:val="List Number 4"/>
    <w:basedOn w:val="List4"/>
    <w:rsid w:val="003D22F4"/>
    <w:pPr>
      <w:numPr>
        <w:numId w:val="4"/>
      </w:numPr>
    </w:pPr>
  </w:style>
  <w:style w:type="paragraph" w:styleId="ListNumber5">
    <w:name w:val="List Number 5"/>
    <w:basedOn w:val="List5"/>
    <w:rsid w:val="003D22F4"/>
    <w:pPr>
      <w:numPr>
        <w:numId w:val="5"/>
      </w:numPr>
    </w:pPr>
  </w:style>
  <w:style w:type="paragraph" w:styleId="BlockText">
    <w:name w:val="Block Text"/>
    <w:basedOn w:val="Normal"/>
    <w:rsid w:val="003D2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2F4"/>
    <w:rPr>
      <w:sz w:val="16"/>
      <w:vertAlign w:val="superscript"/>
    </w:rPr>
  </w:style>
  <w:style w:type="character" w:customStyle="1" w:styleId="Symbols">
    <w:name w:val="Symbols"/>
    <w:basedOn w:val="DefaultParagraphFont"/>
    <w:rsid w:val="003D22F4"/>
    <w:rPr>
      <w:rFonts w:ascii="Symbol" w:hAnsi="Symbol"/>
    </w:rPr>
  </w:style>
  <w:style w:type="character" w:customStyle="1" w:styleId="MenuOptions">
    <w:name w:val="Menu Options"/>
    <w:basedOn w:val="DefaultParagraphFont"/>
    <w:rsid w:val="003D2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2F4"/>
    <w:rPr>
      <w:b/>
    </w:rPr>
  </w:style>
  <w:style w:type="character" w:customStyle="1" w:styleId="Underlined">
    <w:name w:val="Underlined"/>
    <w:basedOn w:val="DefaultParagraphFont"/>
    <w:rsid w:val="003D22F4"/>
    <w:rPr>
      <w:u w:val="single"/>
    </w:rPr>
  </w:style>
  <w:style w:type="paragraph" w:customStyle="1" w:styleId="TableBodyTextRight">
    <w:name w:val="Table Body Text Right"/>
    <w:basedOn w:val="TableBodyText"/>
    <w:rsid w:val="003D2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2F4"/>
    <w:rPr>
      <w:sz w:val="18"/>
    </w:rPr>
  </w:style>
  <w:style w:type="paragraph" w:customStyle="1" w:styleId="BodySmallRight">
    <w:name w:val="Body Small Right"/>
    <w:basedOn w:val="BodyTextRight"/>
    <w:rsid w:val="003D22F4"/>
    <w:rPr>
      <w:sz w:val="18"/>
      <w:szCs w:val="18"/>
    </w:rPr>
  </w:style>
  <w:style w:type="paragraph" w:customStyle="1" w:styleId="MarginEdition">
    <w:name w:val="Margin Edition"/>
    <w:basedOn w:val="MarginNote"/>
    <w:rsid w:val="003D2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2F4"/>
    <w:rPr>
      <w:sz w:val="2"/>
      <w:szCs w:val="2"/>
    </w:rPr>
  </w:style>
  <w:style w:type="character" w:customStyle="1" w:styleId="Small">
    <w:name w:val="Small"/>
    <w:basedOn w:val="DefaultParagraphFont"/>
    <w:rsid w:val="003D22F4"/>
    <w:rPr>
      <w:sz w:val="16"/>
    </w:rPr>
  </w:style>
  <w:style w:type="paragraph" w:customStyle="1" w:styleId="WideTable">
    <w:name w:val="Wide Table"/>
    <w:basedOn w:val="Normal"/>
    <w:rsid w:val="003D2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2F4"/>
  </w:style>
  <w:style w:type="paragraph" w:styleId="Quote">
    <w:name w:val="Quote"/>
    <w:basedOn w:val="Heading1"/>
    <w:link w:val="QuoteChar"/>
    <w:qFormat/>
    <w:rsid w:val="003D2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2F4"/>
    <w:pPr>
      <w:pageBreakBefore/>
    </w:pPr>
  </w:style>
  <w:style w:type="paragraph" w:customStyle="1" w:styleId="Border">
    <w:name w:val="Border"/>
    <w:basedOn w:val="Normal"/>
    <w:qFormat/>
    <w:rsid w:val="003D2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2F4"/>
    <w:rPr>
      <w:u w:val="single"/>
    </w:rPr>
  </w:style>
  <w:style w:type="character" w:customStyle="1" w:styleId="BoldandItalics">
    <w:name w:val="Bold and Italics"/>
    <w:qFormat/>
    <w:rsid w:val="003D22F4"/>
    <w:rPr>
      <w:b/>
      <w:i/>
      <w:u w:val="none"/>
    </w:rPr>
  </w:style>
  <w:style w:type="paragraph" w:styleId="BalloonText">
    <w:name w:val="Balloon Text"/>
    <w:basedOn w:val="Normal"/>
    <w:link w:val="BalloonTextChar"/>
    <w:rsid w:val="003D2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2F4"/>
    <w:pPr>
      <w:spacing w:before="0" w:after="0"/>
    </w:pPr>
  </w:style>
  <w:style w:type="paragraph" w:customStyle="1" w:styleId="BodyTextBold">
    <w:name w:val="Body Text Bold"/>
    <w:basedOn w:val="BodyText"/>
    <w:qFormat/>
    <w:rsid w:val="003D22F4"/>
    <w:rPr>
      <w:b/>
    </w:rPr>
  </w:style>
  <w:style w:type="character" w:styleId="Hyperlink">
    <w:name w:val="Hyperlink"/>
    <w:basedOn w:val="DefaultParagraphFont"/>
    <w:uiPriority w:val="99"/>
    <w:unhideWhenUsed/>
    <w:rsid w:val="006B4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5303</Characters>
  <Application>Microsoft Office Word</Application>
  <DocSecurity>0</DocSecurity>
  <Lines>176</Lines>
  <Paragraphs>95</Paragraphs>
  <ScaleCrop>false</ScaleCrop>
  <Company>Author-it Software Corporation Ltd.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CHCSOH002 Manage and maintain tenancy agreements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