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619" w:rsidP="006C46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CHCSET003 Work with forced migrants</w:t>
      </w:r>
      <w:r>
        <w:fldChar w:fldCharType="end"/>
      </w:r>
    </w:p>
    <w:p w:rsidR="006C4619" w:rsidP="006C4619">
      <w:pPr>
        <w:pStyle w:val="Version"/>
        <w:sectPr w:rsidSect="004A3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275" w:rsidP="004A3275">
      <w:pPr>
        <w:pStyle w:val="SuperHeading"/>
      </w:pPr>
      <w:r w:rsidRPr="004A3275">
        <w:t>Assessment Requirements for CHCSET003 Work with forced migrants</w:t>
      </w:r>
    </w:p>
    <w:p w:rsidR="00000000" w:rsidRPr="004A3275" w:rsidP="004A3275">
      <w:pPr>
        <w:pStyle w:val="Heading1"/>
      </w:pPr>
      <w:bookmarkStart w:id="1" w:name="O_1277927"/>
      <w:bookmarkEnd w:id="1"/>
      <w:r w:rsidRPr="004A3275">
        <w:t>Modification History</w:t>
      </w:r>
    </w:p>
    <w:p w:rsidR="00000000" w:rsidRPr="004A3275" w:rsidP="006C4619">
      <w:pPr>
        <w:pStyle w:val="BodyText"/>
      </w:pPr>
      <w:r w:rsidRPr="004A3275">
        <w:t>Not applicable.</w:t>
      </w:r>
    </w:p>
    <w:p w:rsidR="00000000" w:rsidRPr="004A3275" w:rsidP="004A3275">
      <w:pPr>
        <w:pStyle w:val="Heading1"/>
      </w:pPr>
      <w:bookmarkStart w:id="2" w:name="O_1277930"/>
      <w:bookmarkEnd w:id="2"/>
      <w:r w:rsidRPr="004A3275">
        <w:t>Performance Evidence</w:t>
      </w:r>
    </w:p>
    <w:p w:rsidR="00000000" w:rsidRPr="004A3275" w:rsidP="006C4619">
      <w:pPr>
        <w:pStyle w:val="BodyText"/>
      </w:pPr>
      <w:r w:rsidRPr="004A3275">
        <w:t>Evidence of the ability to complete tasks outlined in elements and performance criteria of this unit in the context of the job role, and:</w:t>
      </w:r>
    </w:p>
    <w:p w:rsidR="00000000" w:rsidRPr="004A3275" w:rsidP="004A3275">
      <w:pPr>
        <w:pStyle w:val="ListBullet"/>
      </w:pPr>
      <w:r w:rsidRPr="004A3275">
        <w:t>develop, deliver, monitor and review the delivery of a settlement plan for three groups of forced migrants.</w:t>
      </w:r>
    </w:p>
    <w:p w:rsidR="00000000" w:rsidRPr="004A3275" w:rsidP="004A3275">
      <w:pPr>
        <w:pStyle w:val="AllowPageBreak"/>
      </w:pPr>
    </w:p>
    <w:p w:rsidR="00000000" w:rsidRPr="004A3275" w:rsidP="004A3275">
      <w:pPr>
        <w:pStyle w:val="Heading1"/>
      </w:pPr>
      <w:bookmarkStart w:id="3" w:name="O_1277929"/>
      <w:bookmarkEnd w:id="3"/>
      <w:r w:rsidRPr="004A3275">
        <w:t>Knowledge Evidence</w:t>
      </w:r>
    </w:p>
    <w:p w:rsidR="00000000" w:rsidRPr="004A3275" w:rsidP="006C4619">
      <w:pPr>
        <w:pStyle w:val="BodyText"/>
      </w:pPr>
      <w:r w:rsidRPr="004A3275">
        <w:t>Demonstrated knowledge required to complete the tasks outlined in elements and performance criteria of this unit:</w:t>
      </w:r>
    </w:p>
    <w:p w:rsidR="00000000" w:rsidRPr="004A3275" w:rsidP="004A3275">
      <w:pPr>
        <w:pStyle w:val="ListBullet"/>
      </w:pPr>
      <w:r w:rsidRPr="004A3275">
        <w:t xml:space="preserve">national, State or Territory and local legal and ethical considerations relevant to settlement services and how </w:t>
      </w:r>
      <w:r w:rsidRPr="004A3275">
        <w:t>these are applied in organisations and individual practice:</w:t>
      </w:r>
    </w:p>
    <w:p w:rsidR="00000000" w:rsidRPr="004A3275" w:rsidP="004A3275">
      <w:pPr>
        <w:pStyle w:val="ListBullet2"/>
      </w:pPr>
      <w:r w:rsidRPr="004A3275">
        <w:t>privacy, confidentiality and disclosure</w:t>
      </w:r>
    </w:p>
    <w:p w:rsidR="00000000" w:rsidRPr="004A3275" w:rsidP="004A3275">
      <w:pPr>
        <w:pStyle w:val="ListBullet2"/>
      </w:pPr>
      <w:r w:rsidRPr="004A3275">
        <w:t>mandatory reporting</w:t>
      </w:r>
    </w:p>
    <w:p w:rsidR="00000000" w:rsidRPr="004A3275" w:rsidP="004A3275">
      <w:pPr>
        <w:pStyle w:val="ListBullet2"/>
      </w:pPr>
      <w:r w:rsidRPr="004A3275">
        <w:t>conflict of interest and maintaining professional boundaries</w:t>
      </w:r>
    </w:p>
    <w:p w:rsidR="00000000" w:rsidRPr="004A3275" w:rsidP="004A3275">
      <w:pPr>
        <w:pStyle w:val="ListBullet2"/>
      </w:pPr>
      <w:r w:rsidRPr="004A3275">
        <w:t>discrimination</w:t>
      </w:r>
    </w:p>
    <w:p w:rsidR="00000000" w:rsidRPr="004A3275" w:rsidP="004A3275">
      <w:pPr>
        <w:pStyle w:val="ListBullet2"/>
      </w:pPr>
      <w:r w:rsidRPr="004A3275">
        <w:t>access and equity</w:t>
      </w:r>
    </w:p>
    <w:p w:rsidR="00000000" w:rsidRPr="004A3275" w:rsidP="004A3275">
      <w:pPr>
        <w:pStyle w:val="ListBullet"/>
      </w:pPr>
      <w:r w:rsidRPr="004A3275">
        <w:t>drivers and issues associated with migration and forced migration:</w:t>
      </w:r>
    </w:p>
    <w:p w:rsidR="00000000" w:rsidRPr="004A3275" w:rsidP="004A3275">
      <w:pPr>
        <w:pStyle w:val="ListBullet2"/>
      </w:pPr>
      <w:r w:rsidRPr="004A3275">
        <w:t>what migration is and what forms it takes</w:t>
      </w:r>
    </w:p>
    <w:p w:rsidR="00000000" w:rsidRPr="004A3275" w:rsidP="004A3275">
      <w:pPr>
        <w:pStyle w:val="ListBullet2"/>
      </w:pPr>
      <w:r w:rsidRPr="004A3275">
        <w:t>causes and impacts of forced migration</w:t>
      </w:r>
    </w:p>
    <w:p w:rsidR="00000000" w:rsidRPr="004A3275" w:rsidP="004A3275">
      <w:pPr>
        <w:pStyle w:val="ListBullet2"/>
      </w:pPr>
      <w:r w:rsidRPr="004A3275">
        <w:t>international protection regime</w:t>
      </w:r>
    </w:p>
    <w:p w:rsidR="00000000" w:rsidRPr="004A3275" w:rsidP="004A3275">
      <w:pPr>
        <w:pStyle w:val="ListBullet2"/>
      </w:pPr>
      <w:r w:rsidRPr="004A3275">
        <w:t>Australia’s response to forced migration</w:t>
      </w:r>
    </w:p>
    <w:p w:rsidR="00000000" w:rsidRPr="004A3275" w:rsidP="004A3275">
      <w:pPr>
        <w:pStyle w:val="ListBullet2"/>
      </w:pPr>
      <w:r w:rsidRPr="004A3275">
        <w:t>immigration processes, including h</w:t>
      </w:r>
      <w:r w:rsidRPr="004A3275">
        <w:t>ow and why people select to come to Australia</w:t>
      </w:r>
    </w:p>
    <w:p w:rsidR="00000000" w:rsidRPr="004A3275" w:rsidP="004A3275">
      <w:pPr>
        <w:pStyle w:val="ListBullet2"/>
      </w:pPr>
      <w:r w:rsidRPr="004A3275">
        <w:t>visa subclasses relevant to forced migrants</w:t>
      </w:r>
    </w:p>
    <w:p w:rsidR="00000000" w:rsidRPr="004A3275" w:rsidP="004A3275">
      <w:pPr>
        <w:pStyle w:val="ListBullet2"/>
      </w:pPr>
      <w:r w:rsidRPr="004A3275">
        <w:t>profile of the current humanitarian program entrants, their experience and the impact of this on their settlement needs</w:t>
      </w:r>
    </w:p>
    <w:p w:rsidR="00000000" w:rsidRPr="004A3275" w:rsidP="004A3275">
      <w:pPr>
        <w:pStyle w:val="ListBullet"/>
      </w:pPr>
      <w:r w:rsidRPr="004A3275">
        <w:t>settlement process, practices and policies in</w:t>
      </w:r>
      <w:r w:rsidRPr="004A3275">
        <w:t xml:space="preserve"> Australia:</w:t>
      </w:r>
    </w:p>
    <w:p w:rsidR="00000000" w:rsidRPr="004A3275" w:rsidP="004A3275">
      <w:pPr>
        <w:pStyle w:val="ListBullet2"/>
      </w:pPr>
      <w:r w:rsidRPr="004A3275">
        <w:t>current and historical context of work in this sector</w:t>
      </w:r>
    </w:p>
    <w:p w:rsidR="00000000" w:rsidRPr="004A3275" w:rsidP="004A3275">
      <w:pPr>
        <w:pStyle w:val="ListBullet2"/>
      </w:pPr>
      <w:r w:rsidRPr="004A3275">
        <w:t>social, political and economic context in which the sector operates</w:t>
      </w:r>
    </w:p>
    <w:p w:rsidR="00000000" w:rsidRPr="004A3275" w:rsidP="004A3275">
      <w:pPr>
        <w:pStyle w:val="ListBullet2"/>
      </w:pPr>
      <w:r w:rsidRPr="004A3275">
        <w:t>what is settlement including current theories, phases and indicators</w:t>
      </w:r>
    </w:p>
    <w:p w:rsidR="00000000" w:rsidRPr="004A3275" w:rsidP="004A3275">
      <w:pPr>
        <w:pStyle w:val="ListBullet2"/>
      </w:pPr>
      <w:r w:rsidRPr="004A3275">
        <w:t>practical and emotional settlement needs of new migr</w:t>
      </w:r>
      <w:r w:rsidRPr="004A3275">
        <w:t>ants</w:t>
      </w:r>
    </w:p>
    <w:p w:rsidR="00000000" w:rsidRPr="004A3275" w:rsidP="004A3275">
      <w:pPr>
        <w:pStyle w:val="ListBullet2"/>
      </w:pPr>
      <w:r w:rsidRPr="004A3275">
        <w:t>services available to new migrants and how these services can be accessed</w:t>
      </w:r>
    </w:p>
    <w:p w:rsidR="00000000" w:rsidRPr="004A3275" w:rsidP="004A3275">
      <w:pPr>
        <w:pStyle w:val="ListBullet2"/>
      </w:pPr>
      <w:r w:rsidRPr="004A3275">
        <w:t xml:space="preserve">settlement plans and how they are developed </w:t>
      </w:r>
    </w:p>
    <w:p w:rsidR="00000000" w:rsidRPr="004A3275" w:rsidP="004A3275">
      <w:pPr>
        <w:pStyle w:val="ListBullet2"/>
      </w:pPr>
      <w:r w:rsidRPr="004A3275">
        <w:t>government service principles</w:t>
      </w:r>
    </w:p>
    <w:p w:rsidR="00000000" w:rsidRPr="004A3275" w:rsidP="004A3275">
      <w:pPr>
        <w:pStyle w:val="ListBullet"/>
      </w:pPr>
      <w:r w:rsidRPr="004A3275">
        <w:t>service delivery frameworks for forced migration</w:t>
      </w:r>
    </w:p>
    <w:p w:rsidR="00000000" w:rsidRPr="004A3275" w:rsidP="004A3275">
      <w:pPr>
        <w:pStyle w:val="ListBullet"/>
      </w:pPr>
      <w:r w:rsidRPr="004A3275">
        <w:t xml:space="preserve">refugee experience and how to recognise the effects of grief, loss, stress, torture and trauma </w:t>
      </w:r>
    </w:p>
    <w:p w:rsidR="00000000" w:rsidRPr="004A3275" w:rsidP="004A3275">
      <w:pPr>
        <w:pStyle w:val="ListBullet"/>
      </w:pPr>
      <w:r w:rsidRPr="004A3275">
        <w:t>signs and impacts of post-traumatic stress disorder</w:t>
      </w:r>
    </w:p>
    <w:p w:rsidR="00000000" w:rsidRPr="004A3275" w:rsidP="004A3275">
      <w:pPr>
        <w:pStyle w:val="ListBullet"/>
      </w:pPr>
      <w:r w:rsidRPr="004A3275">
        <w:t>impact of migration on the family and the impact of changed roles within the family</w:t>
      </w:r>
    </w:p>
    <w:p w:rsidR="00000000" w:rsidRPr="004A3275" w:rsidP="004A3275">
      <w:pPr>
        <w:pStyle w:val="ListBullet"/>
      </w:pPr>
      <w:r w:rsidRPr="004A3275">
        <w:t>importance of identity a</w:t>
      </w:r>
      <w:r w:rsidRPr="004A3275">
        <w:t xml:space="preserve">nd the significance of giving people a chance to define themselves </w:t>
      </w:r>
    </w:p>
    <w:p w:rsidR="00000000" w:rsidRPr="004A3275" w:rsidP="004A3275">
      <w:pPr>
        <w:pStyle w:val="ListBullet"/>
      </w:pPr>
      <w:r w:rsidRPr="004A3275">
        <w:t>availability of resources and assistance within, and external to, the organisation, including referral networks and how to access their services</w:t>
      </w:r>
    </w:p>
    <w:p w:rsidR="00000000" w:rsidRPr="004A3275" w:rsidP="004A3275">
      <w:pPr>
        <w:pStyle w:val="ListBullet"/>
      </w:pPr>
      <w:r w:rsidRPr="004A3275">
        <w:t>features of services that deal with the imp</w:t>
      </w:r>
      <w:r w:rsidRPr="004A3275">
        <w:t>acts of trauma and processes for accessing:</w:t>
      </w:r>
    </w:p>
    <w:p w:rsidR="00000000" w:rsidRPr="004A3275" w:rsidP="004A3275">
      <w:pPr>
        <w:pStyle w:val="ListBullet2"/>
      </w:pPr>
      <w:r w:rsidRPr="004A3275">
        <w:t>counselling</w:t>
      </w:r>
    </w:p>
    <w:p w:rsidR="00000000" w:rsidRPr="004A3275" w:rsidP="004A3275">
      <w:pPr>
        <w:pStyle w:val="ListBullet2"/>
      </w:pPr>
      <w:r w:rsidRPr="004A3275">
        <w:t>health services</w:t>
      </w:r>
    </w:p>
    <w:p w:rsidR="00000000" w:rsidRPr="004A3275" w:rsidP="004A3275">
      <w:pPr>
        <w:pStyle w:val="ListBullet2"/>
      </w:pPr>
      <w:r w:rsidRPr="004A3275">
        <w:t>legal services</w:t>
      </w:r>
    </w:p>
    <w:p w:rsidR="00000000" w:rsidRPr="004A3275" w:rsidP="004A3275">
      <w:pPr>
        <w:pStyle w:val="ListBullet"/>
      </w:pPr>
      <w:r w:rsidRPr="004A3275">
        <w:t xml:space="preserve">strategies for the worker to maintain their own wellbeing and to support the wellbeing of colleagues </w:t>
      </w:r>
    </w:p>
    <w:p w:rsidR="00000000" w:rsidRPr="004A3275" w:rsidP="004A3275">
      <w:pPr>
        <w:pStyle w:val="ListBullet"/>
      </w:pPr>
      <w:r w:rsidRPr="004A3275">
        <w:t>international and Australian perspectives on:</w:t>
      </w:r>
    </w:p>
    <w:p w:rsidR="00000000" w:rsidRPr="004A3275" w:rsidP="004A3275">
      <w:pPr>
        <w:pStyle w:val="ListBullet2"/>
      </w:pPr>
      <w:r w:rsidRPr="004A3275">
        <w:t>gender</w:t>
      </w:r>
    </w:p>
    <w:p w:rsidR="00000000" w:rsidRPr="004A3275" w:rsidP="004A3275">
      <w:pPr>
        <w:pStyle w:val="ListBullet2"/>
      </w:pPr>
      <w:r w:rsidRPr="004A3275">
        <w:t>class</w:t>
      </w:r>
    </w:p>
    <w:p w:rsidR="00000000" w:rsidRPr="004A3275" w:rsidP="004A3275">
      <w:pPr>
        <w:pStyle w:val="ListBullet2"/>
      </w:pPr>
      <w:r w:rsidRPr="004A3275">
        <w:t>culture</w:t>
      </w:r>
    </w:p>
    <w:p w:rsidR="00000000" w:rsidRPr="004A3275" w:rsidP="004A3275">
      <w:pPr>
        <w:pStyle w:val="ListBullet2"/>
      </w:pPr>
      <w:r w:rsidRPr="004A3275">
        <w:t>religion.</w:t>
      </w:r>
    </w:p>
    <w:p w:rsidR="00000000" w:rsidRPr="004A3275" w:rsidP="004A3275">
      <w:pPr>
        <w:pStyle w:val="AllowPageBreak"/>
      </w:pPr>
    </w:p>
    <w:p w:rsidR="00000000" w:rsidRPr="004A3275" w:rsidP="004A3275">
      <w:pPr>
        <w:pStyle w:val="Heading1"/>
      </w:pPr>
      <w:bookmarkStart w:id="4" w:name="O_1277928"/>
      <w:bookmarkEnd w:id="4"/>
      <w:r w:rsidRPr="004A3275">
        <w:t>Assessment Conditions</w:t>
      </w:r>
    </w:p>
    <w:p w:rsidR="00000000" w:rsidRPr="004A3275" w:rsidP="006C4619">
      <w:pPr>
        <w:pStyle w:val="BodyText"/>
      </w:pPr>
      <w:r w:rsidRPr="004A3275">
        <w:t xml:space="preserve">Skills must be demonstrated in the workplace or in a simulated environment that reflects workplace conditions. </w:t>
      </w:r>
    </w:p>
    <w:p w:rsidR="00000000" w:rsidRPr="004A3275" w:rsidP="006C4619">
      <w:pPr>
        <w:pStyle w:val="BodyText"/>
      </w:pPr>
      <w:r w:rsidRPr="004A3275">
        <w:t>Assessment must ensure:</w:t>
      </w:r>
    </w:p>
    <w:p w:rsidR="00000000" w:rsidRPr="004A3275" w:rsidP="004A3275">
      <w:pPr>
        <w:pStyle w:val="ListBullet"/>
      </w:pPr>
      <w:r w:rsidRPr="004A3275">
        <w:t>access to facilities, equipment and resources that reflect r</w:t>
      </w:r>
      <w:r w:rsidRPr="004A3275">
        <w:t>eal working conditions and model industry operating conditions and contingencies</w:t>
      </w:r>
    </w:p>
    <w:p w:rsidR="00000000" w:rsidRPr="004A3275" w:rsidP="004A3275">
      <w:pPr>
        <w:pStyle w:val="ListBullet"/>
      </w:pPr>
      <w:r w:rsidRPr="004A3275">
        <w:t>access to organisational policies and procedures</w:t>
      </w:r>
    </w:p>
    <w:p w:rsidR="00000000" w:rsidRPr="004A3275" w:rsidP="004A3275">
      <w:pPr>
        <w:pStyle w:val="ListBullet"/>
      </w:pPr>
      <w:r w:rsidRPr="004A3275">
        <w:t>opportunities for engagement with refugees and asylum seekers from a range of backgrounds.</w:t>
      </w:r>
    </w:p>
    <w:p w:rsidR="00000000" w:rsidRPr="004A3275" w:rsidP="006C4619">
      <w:pPr>
        <w:pStyle w:val="BodyText"/>
      </w:pPr>
      <w:r w:rsidRPr="004A3275">
        <w:t>Assessors must satisfy the Standard</w:t>
      </w:r>
      <w:r w:rsidRPr="004A3275">
        <w:t>s for Registered Training Organisations’ requirements for assessors.</w:t>
      </w:r>
    </w:p>
    <w:p w:rsidR="00000000" w:rsidRPr="004A3275" w:rsidP="004A3275">
      <w:pPr>
        <w:pStyle w:val="Heading1"/>
      </w:pPr>
      <w:bookmarkStart w:id="5" w:name="O_1277926"/>
      <w:bookmarkEnd w:id="5"/>
      <w:r w:rsidRPr="004A3275">
        <w:t>Links</w:t>
      </w:r>
    </w:p>
    <w:p w:rsidR="00000000" w:rsidRPr="004A3275" w:rsidP="006C4619">
      <w:pPr>
        <w:pStyle w:val="BodyText"/>
      </w:pPr>
      <w:r w:rsidRPr="004A32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B243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A3275" w:rsidP="004A3275"/>
    <w:sectPr w:rsidSect="004A32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75" w:rsidRPr="006C4619" w:rsidP="006C46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19" w:rsidP="004A3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4619" w:rsidP="004A3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4619" w:rsidP="004A3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275" w:rsidRPr="006C4619" w:rsidP="006C46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19" w:rsidRPr="002D2AF8" w:rsidP="004A3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CHCSET003 Work with forced migrants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C4619" w:rsidP="004A3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867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64E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2E9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275"/>
  </w:style>
  <w:style w:type="character" w:customStyle="1" w:styleId="Heading1Char">
    <w:name w:val="Heading 1 Char"/>
    <w:basedOn w:val="DefaultParagraphFont"/>
    <w:link w:val="Heading1"/>
    <w:rsid w:val="004A3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2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2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2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32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3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2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2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275"/>
    <w:rPr>
      <w:b/>
      <w:spacing w:val="0"/>
    </w:rPr>
  </w:style>
  <w:style w:type="paragraph" w:customStyle="1" w:styleId="SuperTitle">
    <w:name w:val="SuperTitle"/>
    <w:basedOn w:val="Title"/>
    <w:rsid w:val="004A3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275"/>
    <w:rPr>
      <w:i/>
    </w:rPr>
  </w:style>
  <w:style w:type="paragraph" w:styleId="Caption">
    <w:name w:val="caption"/>
    <w:basedOn w:val="BodyText"/>
    <w:next w:val="Normal"/>
    <w:qFormat/>
    <w:rsid w:val="004A3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275"/>
  </w:style>
  <w:style w:type="paragraph" w:styleId="TableofFigures">
    <w:name w:val="table of figures"/>
    <w:basedOn w:val="Normal"/>
    <w:next w:val="Normal"/>
    <w:semiHidden/>
    <w:rsid w:val="004A3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2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275"/>
    <w:rPr>
      <w:rFonts w:ascii="Wingdings" w:hAnsi="Wingdings"/>
    </w:rPr>
  </w:style>
  <w:style w:type="paragraph" w:customStyle="1" w:styleId="TableHeading">
    <w:name w:val="Table Heading"/>
    <w:basedOn w:val="HeadingBase"/>
    <w:rsid w:val="004A3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275"/>
    <w:rPr>
      <w:color w:val="0033CC"/>
      <w:u w:val="none"/>
    </w:rPr>
  </w:style>
  <w:style w:type="paragraph" w:customStyle="1" w:styleId="BodyTextRight">
    <w:name w:val="Body Text Right"/>
    <w:basedOn w:val="BodyText"/>
    <w:rsid w:val="004A3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2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275"/>
    <w:rPr>
      <w:sz w:val="32"/>
    </w:rPr>
  </w:style>
  <w:style w:type="paragraph" w:customStyle="1" w:styleId="HeadingProcedure">
    <w:name w:val="Heading Procedure"/>
    <w:basedOn w:val="HeadingBase"/>
    <w:next w:val="Normal"/>
    <w:rsid w:val="004A3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275"/>
    <w:pPr>
      <w:spacing w:before="60" w:after="60"/>
    </w:pPr>
  </w:style>
  <w:style w:type="paragraph" w:styleId="ListContinue">
    <w:name w:val="List Continue"/>
    <w:basedOn w:val="List"/>
    <w:rsid w:val="004A3275"/>
    <w:pPr>
      <w:ind w:firstLine="0"/>
    </w:pPr>
  </w:style>
  <w:style w:type="paragraph" w:customStyle="1" w:styleId="ListNote">
    <w:name w:val="List Note"/>
    <w:basedOn w:val="List"/>
    <w:rsid w:val="004A3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275"/>
    <w:rPr>
      <w:rFonts w:ascii="Courier New" w:hAnsi="Courier New"/>
    </w:rPr>
  </w:style>
  <w:style w:type="paragraph" w:customStyle="1" w:styleId="NoteBullet">
    <w:name w:val="Note Bullet"/>
    <w:basedOn w:val="Note"/>
    <w:rsid w:val="004A3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2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275"/>
    <w:rPr>
      <w:b/>
      <w:smallCaps/>
    </w:rPr>
  </w:style>
  <w:style w:type="paragraph" w:customStyle="1" w:styleId="TableListNumber">
    <w:name w:val="Table List Number"/>
    <w:basedOn w:val="ListNumber"/>
    <w:rsid w:val="004A3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275"/>
    <w:pPr>
      <w:numPr>
        <w:numId w:val="9"/>
      </w:numPr>
    </w:pPr>
  </w:style>
  <w:style w:type="paragraph" w:customStyle="1" w:styleId="ListAlpha2">
    <w:name w:val="List Alpha 2"/>
    <w:basedOn w:val="List2"/>
    <w:rsid w:val="004A3275"/>
    <w:pPr>
      <w:numPr>
        <w:numId w:val="8"/>
      </w:numPr>
    </w:pPr>
  </w:style>
  <w:style w:type="paragraph" w:styleId="List2">
    <w:name w:val="List 2"/>
    <w:basedOn w:val="BodyText"/>
    <w:rsid w:val="004A3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2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2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275"/>
    <w:pPr>
      <w:numPr>
        <w:numId w:val="4"/>
      </w:numPr>
    </w:pPr>
  </w:style>
  <w:style w:type="paragraph" w:styleId="ListContinue2">
    <w:name w:val="List Continue 2"/>
    <w:basedOn w:val="List2"/>
    <w:rsid w:val="004A3275"/>
    <w:pPr>
      <w:ind w:firstLine="0"/>
    </w:pPr>
  </w:style>
  <w:style w:type="paragraph" w:styleId="ListContinue3">
    <w:name w:val="List Continue 3"/>
    <w:basedOn w:val="List3"/>
    <w:rsid w:val="004A3275"/>
    <w:pPr>
      <w:ind w:left="1021" w:firstLine="0"/>
    </w:pPr>
  </w:style>
  <w:style w:type="paragraph" w:styleId="ListContinue4">
    <w:name w:val="List Continue 4"/>
    <w:basedOn w:val="List4"/>
    <w:rsid w:val="004A3275"/>
    <w:pPr>
      <w:ind w:firstLine="0"/>
    </w:pPr>
  </w:style>
  <w:style w:type="paragraph" w:styleId="ListContinue5">
    <w:name w:val="List Continue 5"/>
    <w:basedOn w:val="List5"/>
    <w:rsid w:val="004A3275"/>
    <w:pPr>
      <w:ind w:firstLine="0"/>
    </w:pPr>
  </w:style>
  <w:style w:type="paragraph" w:styleId="ListNumber3">
    <w:name w:val="List Number 3"/>
    <w:basedOn w:val="List3"/>
    <w:rsid w:val="004A3275"/>
    <w:pPr>
      <w:numPr>
        <w:numId w:val="5"/>
      </w:numPr>
    </w:pPr>
  </w:style>
  <w:style w:type="paragraph" w:styleId="ListNumber4">
    <w:name w:val="List Number 4"/>
    <w:basedOn w:val="List4"/>
    <w:rsid w:val="004A3275"/>
    <w:pPr>
      <w:numPr>
        <w:numId w:val="6"/>
      </w:numPr>
    </w:pPr>
  </w:style>
  <w:style w:type="paragraph" w:styleId="ListNumber5">
    <w:name w:val="List Number 5"/>
    <w:basedOn w:val="List5"/>
    <w:rsid w:val="004A3275"/>
    <w:pPr>
      <w:numPr>
        <w:numId w:val="7"/>
      </w:numPr>
    </w:pPr>
  </w:style>
  <w:style w:type="paragraph" w:styleId="BlockText">
    <w:name w:val="Block Text"/>
    <w:basedOn w:val="Normal"/>
    <w:rsid w:val="004A3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275"/>
    <w:rPr>
      <w:sz w:val="16"/>
      <w:vertAlign w:val="superscript"/>
    </w:rPr>
  </w:style>
  <w:style w:type="character" w:customStyle="1" w:styleId="Symbols">
    <w:name w:val="Symbols"/>
    <w:basedOn w:val="DefaultParagraphFont"/>
    <w:rsid w:val="004A3275"/>
    <w:rPr>
      <w:rFonts w:ascii="Symbol" w:hAnsi="Symbol"/>
    </w:rPr>
  </w:style>
  <w:style w:type="character" w:customStyle="1" w:styleId="MenuOptions">
    <w:name w:val="Menu Options"/>
    <w:basedOn w:val="DefaultParagraphFont"/>
    <w:rsid w:val="004A3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275"/>
    <w:rPr>
      <w:b/>
    </w:rPr>
  </w:style>
  <w:style w:type="character" w:customStyle="1" w:styleId="Underlined">
    <w:name w:val="Underlined"/>
    <w:basedOn w:val="DefaultParagraphFont"/>
    <w:rsid w:val="004A3275"/>
    <w:rPr>
      <w:u w:val="single"/>
    </w:rPr>
  </w:style>
  <w:style w:type="paragraph" w:customStyle="1" w:styleId="TableBodyTextRight">
    <w:name w:val="Table Body Text Right"/>
    <w:basedOn w:val="TableBodyText"/>
    <w:rsid w:val="004A3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275"/>
    <w:rPr>
      <w:sz w:val="18"/>
    </w:rPr>
  </w:style>
  <w:style w:type="paragraph" w:customStyle="1" w:styleId="BodySmallRight">
    <w:name w:val="Body Small Right"/>
    <w:basedOn w:val="BodyTextRight"/>
    <w:rsid w:val="004A3275"/>
    <w:rPr>
      <w:sz w:val="18"/>
      <w:szCs w:val="18"/>
    </w:rPr>
  </w:style>
  <w:style w:type="paragraph" w:customStyle="1" w:styleId="MarginEdition">
    <w:name w:val="Margin Edition"/>
    <w:basedOn w:val="MarginNote"/>
    <w:rsid w:val="004A3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275"/>
    <w:rPr>
      <w:sz w:val="2"/>
      <w:szCs w:val="2"/>
    </w:rPr>
  </w:style>
  <w:style w:type="character" w:customStyle="1" w:styleId="Small">
    <w:name w:val="Small"/>
    <w:basedOn w:val="DefaultParagraphFont"/>
    <w:rsid w:val="004A3275"/>
    <w:rPr>
      <w:sz w:val="16"/>
    </w:rPr>
  </w:style>
  <w:style w:type="paragraph" w:customStyle="1" w:styleId="WideTable">
    <w:name w:val="Wide Table"/>
    <w:basedOn w:val="Normal"/>
    <w:rsid w:val="004A3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275"/>
  </w:style>
  <w:style w:type="paragraph" w:styleId="Quote">
    <w:name w:val="Quote"/>
    <w:basedOn w:val="Heading1"/>
    <w:link w:val="QuoteChar"/>
    <w:qFormat/>
    <w:rsid w:val="004A3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275"/>
    <w:pPr>
      <w:pageBreakBefore/>
    </w:pPr>
  </w:style>
  <w:style w:type="paragraph" w:customStyle="1" w:styleId="Border">
    <w:name w:val="Border"/>
    <w:basedOn w:val="Normal"/>
    <w:qFormat/>
    <w:rsid w:val="004A3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275"/>
    <w:rPr>
      <w:u w:val="single"/>
    </w:rPr>
  </w:style>
  <w:style w:type="character" w:customStyle="1" w:styleId="BoldandItalics">
    <w:name w:val="Bold and Italics"/>
    <w:qFormat/>
    <w:rsid w:val="004A3275"/>
    <w:rPr>
      <w:b/>
      <w:i/>
      <w:u w:val="none"/>
    </w:rPr>
  </w:style>
  <w:style w:type="paragraph" w:styleId="BalloonText">
    <w:name w:val="Balloon Text"/>
    <w:basedOn w:val="Normal"/>
    <w:link w:val="BalloonTextChar"/>
    <w:rsid w:val="004A3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2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2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275"/>
    <w:pPr>
      <w:spacing w:before="0" w:after="0"/>
    </w:pPr>
  </w:style>
  <w:style w:type="paragraph" w:customStyle="1" w:styleId="BodyTextBold">
    <w:name w:val="Body Text Bold"/>
    <w:basedOn w:val="BodyText"/>
    <w:qFormat/>
    <w:rsid w:val="004A3275"/>
    <w:rPr>
      <w:b/>
    </w:rPr>
  </w:style>
  <w:style w:type="character" w:styleId="Hyperlink">
    <w:name w:val="Hyperlink"/>
    <w:basedOn w:val="DefaultParagraphFont"/>
    <w:uiPriority w:val="99"/>
    <w:unhideWhenUsed/>
    <w:rsid w:val="006C46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3039</Characters>
  <Application>Microsoft Office Word</Application>
  <DocSecurity>0</DocSecurity>
  <Lines>82</Lines>
  <Paragraphs>67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CHCSET003 Work with forced migrants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2023-07-01T04:22:00Z</dcterms:created>
  <dcterms:modified xsi:type="dcterms:W3CDTF">2023-07-01T04:22:00Z</dcterms:modified>
</cp:coreProperties>
</file>