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BDA" w:rsidP="00F40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CHCSET002 Undertake bicultural work with forced migrants in Australia</w:t>
      </w:r>
      <w:r>
        <w:fldChar w:fldCharType="end"/>
      </w:r>
    </w:p>
    <w:p w:rsidR="00F40BDA" w:rsidP="00F40BDA">
      <w:pPr>
        <w:pStyle w:val="Version"/>
        <w:sectPr w:rsidSect="00983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CD0" w:rsidP="00983CD0">
      <w:pPr>
        <w:pStyle w:val="SuperHeading"/>
      </w:pPr>
      <w:r w:rsidRPr="00983CD0">
        <w:t>CHCSET002 Undertake bicultural work with forced migrants in Australia</w:t>
      </w:r>
    </w:p>
    <w:p w:rsidR="00000000" w:rsidRPr="00983CD0" w:rsidP="00983CD0">
      <w:pPr>
        <w:pStyle w:val="Heading1"/>
      </w:pPr>
      <w:bookmarkStart w:id="1" w:name="O_654981"/>
      <w:bookmarkEnd w:id="1"/>
      <w:r w:rsidRPr="00983C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F40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 xml:space="preserve">Comments </w:t>
            </w:r>
          </w:p>
        </w:tc>
      </w:tr>
      <w:tr w:rsidTr="00F40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t xml:space="preserve">This version was released in </w:t>
            </w:r>
            <w:r w:rsidRPr="00983CD0">
              <w:rPr>
                <w:rStyle w:val="Emphasis"/>
              </w:rPr>
              <w:t>CHC Community Services Training Package release 2.0</w:t>
            </w:r>
            <w:r w:rsidRPr="00983CD0">
              <w:t xml:space="preserve"> and meets the requirements of the 2012 Standards for Training Packages.</w:t>
            </w:r>
          </w:p>
          <w:p w:rsidR="00000000" w:rsidRPr="00983CD0" w:rsidP="00983CD0">
            <w:pPr>
              <w:pStyle w:val="BodyText"/>
            </w:pPr>
            <w:r w:rsidRPr="00983CD0">
              <w:t xml:space="preserve">Significant changes to performance criteria </w:t>
            </w:r>
          </w:p>
          <w:p w:rsidR="00000000" w:rsidRPr="00983CD0" w:rsidP="00983CD0">
            <w:pPr>
              <w:pStyle w:val="BodyText"/>
            </w:pPr>
            <w:r w:rsidRPr="00983CD0">
              <w:t>New evidence requirements for assessment including volume and frequency requirements</w:t>
            </w:r>
          </w:p>
        </w:tc>
      </w:tr>
    </w:tbl>
    <w:p w:rsidR="00000000" w:rsidRPr="00983CD0" w:rsidP="00983CD0">
      <w:pPr>
        <w:pStyle w:val="BodyText"/>
      </w:pPr>
    </w:p>
    <w:p w:rsidR="00000000" w:rsidRPr="00983CD0" w:rsidP="00983CD0">
      <w:pPr>
        <w:pStyle w:val="AllowPageBreak"/>
      </w:pPr>
    </w:p>
    <w:p w:rsidR="00000000" w:rsidRPr="00983CD0" w:rsidP="00983CD0">
      <w:pPr>
        <w:pStyle w:val="Heading1"/>
      </w:pPr>
      <w:bookmarkStart w:id="2" w:name="O_654982"/>
      <w:bookmarkEnd w:id="2"/>
      <w:r w:rsidRPr="00983CD0">
        <w:t>Application</w:t>
      </w:r>
    </w:p>
    <w:p w:rsidR="00000000" w:rsidRPr="00983CD0" w:rsidP="00F40BDA">
      <w:pPr>
        <w:pStyle w:val="BodyText"/>
      </w:pPr>
      <w:r w:rsidRPr="00983CD0">
        <w:t>This unit describes th</w:t>
      </w:r>
      <w:r w:rsidRPr="00983CD0">
        <w:t xml:space="preserve">e skills and knowledge required of settlement workers from diverse cultural backgrounds to work with forced migrants within an Australian context. </w:t>
      </w:r>
    </w:p>
    <w:p w:rsidR="00000000" w:rsidRPr="00983CD0" w:rsidP="00F40BDA">
      <w:pPr>
        <w:pStyle w:val="BodyText"/>
      </w:pPr>
      <w:r w:rsidRPr="00983CD0">
        <w:t>This unit applies to work in an agency directly or indirectly involved with the provision of services to re</w:t>
      </w:r>
      <w:r w:rsidRPr="00983CD0">
        <w:t>cently arrived migrants and refugees.</w:t>
      </w:r>
    </w:p>
    <w:p w:rsidR="00000000" w:rsidRPr="00983CD0" w:rsidP="00F40BDA">
      <w:pPr>
        <w:pStyle w:val="BodyText"/>
      </w:pPr>
      <w:r w:rsidRPr="00983CD0">
        <w:t>Workers will have limited responsibilities and work within established guidelines to provide support and services in a range of areas including but not limited to settlement, accommodation, counselling, financial advi</w:t>
      </w:r>
      <w:r w:rsidRPr="00983CD0">
        <w:t>ce, family services, youth work, income support, education, health care and crisis intervention.</w:t>
      </w:r>
    </w:p>
    <w:p w:rsidR="00F40BDA" w:rsidRPr="00F40BDA" w:rsidP="00F40BDA">
      <w:pPr>
        <w:pStyle w:val="BodyText"/>
        <w:rPr>
          <w:i/>
        </w:rPr>
      </w:pPr>
      <w:r w:rsidRPr="00F40BDA">
        <w:rPr>
          <w:rStyle w:val="Emphasis"/>
        </w:rPr>
        <w:t>The skills in this unit must be applied in accordance with Commonwealth and State/Territory legislation, Australian/New Zealand standards and industry codes o</w:t>
      </w:r>
      <w:r w:rsidRPr="00F40BDA">
        <w:rPr>
          <w:rStyle w:val="Emphasis"/>
        </w:rPr>
        <w:t>f practice.</w:t>
      </w:r>
    </w:p>
    <w:p w:rsidR="00000000" w:rsidRPr="00983CD0" w:rsidP="00983CD0">
      <w:pPr>
        <w:pStyle w:val="Heading1"/>
      </w:pPr>
      <w:bookmarkStart w:id="3" w:name="O_654986"/>
      <w:bookmarkEnd w:id="3"/>
      <w:r w:rsidRPr="00983C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98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rPr>
                <w:rStyle w:val="SpecialBold"/>
              </w:rPr>
              <w:t>PERFORMANCE CRITERIA</w:t>
            </w:r>
          </w:p>
        </w:tc>
      </w:tr>
      <w:tr w:rsidTr="0098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>1. Work within the Australian context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t xml:space="preserve">1.1 Identify and follow Australian management processes, cultural protocols, organisation procedures and </w:t>
            </w:r>
            <w:r w:rsidRPr="00983CD0">
              <w:t>legislative requirements</w:t>
            </w:r>
          </w:p>
          <w:p w:rsidR="00000000" w:rsidRPr="00983CD0" w:rsidP="00983CD0">
            <w:pPr>
              <w:pStyle w:val="BodyText"/>
            </w:pPr>
            <w:r w:rsidRPr="00983CD0">
              <w:t>1.2 Identify and analyse differences between Australian processes and own cultural proce</w:t>
            </w:r>
            <w:r w:rsidRPr="00983CD0">
              <w:t xml:space="preserve">ss </w:t>
            </w:r>
          </w:p>
          <w:p w:rsidR="00000000" w:rsidRPr="00983CD0" w:rsidP="00983CD0">
            <w:pPr>
              <w:pStyle w:val="BodyText"/>
            </w:pPr>
            <w:r w:rsidRPr="00983CD0">
              <w:t xml:space="preserve">1.3 Identify differences in relation to working as a person from a culturally diverse background within mainstream Australia society </w:t>
            </w:r>
          </w:p>
          <w:p w:rsidR="00000000" w:rsidRPr="00983CD0" w:rsidP="00983CD0">
            <w:pPr>
              <w:pStyle w:val="BodyText"/>
            </w:pPr>
            <w:r w:rsidRPr="00983CD0">
              <w:t xml:space="preserve">1.4 Adjust approaches in light of new information and protocols </w:t>
            </w:r>
          </w:p>
          <w:p w:rsidR="00000000" w:rsidP="00983CD0">
            <w:pPr>
              <w:pStyle w:val="BodyText"/>
              <w:rPr>
                <w:lang w:val="en-NZ"/>
              </w:rPr>
            </w:pPr>
          </w:p>
        </w:tc>
      </w:tr>
      <w:tr w:rsidTr="0098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>2. Operate within the workplace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t xml:space="preserve">2.1 Identify organisation goals and priorities </w:t>
            </w:r>
          </w:p>
          <w:p w:rsidR="00000000" w:rsidRPr="00983CD0" w:rsidP="00983CD0">
            <w:pPr>
              <w:pStyle w:val="BodyText"/>
            </w:pPr>
            <w:r w:rsidRPr="00983CD0">
              <w:t xml:space="preserve">2.2 Identify own role and responsibilities and confirm in accordance with organisation procedures </w:t>
            </w:r>
          </w:p>
          <w:p w:rsidR="00000000" w:rsidRPr="00983CD0" w:rsidP="00983CD0">
            <w:pPr>
              <w:pStyle w:val="BodyText"/>
            </w:pPr>
            <w:r w:rsidRPr="00983CD0">
              <w:t>2.3 Prioritise competing demands to achieve organisation’s goals and objectives</w:t>
            </w:r>
          </w:p>
          <w:p w:rsidR="00000000" w:rsidRPr="00983CD0" w:rsidP="00983CD0">
            <w:pPr>
              <w:pStyle w:val="BodyText"/>
            </w:pPr>
            <w:r w:rsidRPr="00983CD0">
              <w:t>2.4 Identify and use professi</w:t>
            </w:r>
            <w:r w:rsidRPr="00983CD0">
              <w:t xml:space="preserve">onal networks to build and develop relationships </w:t>
            </w:r>
          </w:p>
          <w:p w:rsidR="00000000" w:rsidRPr="00983CD0" w:rsidP="00983CD0">
            <w:pPr>
              <w:pStyle w:val="BodyText"/>
            </w:pPr>
            <w:r w:rsidRPr="00983CD0">
              <w:t>2.5 Identify factors and contingencies affecting the achievement of work objectives and document allowances in work plans</w:t>
            </w:r>
          </w:p>
          <w:p w:rsidR="00000000" w:rsidP="00983CD0">
            <w:pPr>
              <w:pStyle w:val="BodyText"/>
              <w:rPr>
                <w:lang w:val="en-NZ"/>
              </w:rPr>
            </w:pPr>
          </w:p>
        </w:tc>
      </w:tr>
      <w:tr w:rsidTr="0098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>3. Recognise and deal with trauma and vicarious trauma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t xml:space="preserve">3.1 Identify the overt and </w:t>
            </w:r>
            <w:r w:rsidRPr="00983CD0">
              <w:t>covert signs of trauma in clients and the support framework available for such clients</w:t>
            </w:r>
          </w:p>
          <w:p w:rsidR="00000000" w:rsidRPr="00983CD0" w:rsidP="00983CD0">
            <w:pPr>
              <w:pStyle w:val="BodyText"/>
            </w:pPr>
            <w:r w:rsidRPr="00983CD0">
              <w:t>3.2 Evaluate the options for specialist support and/or referrals while continuing to work with the client in line with organisation guidelines</w:t>
            </w:r>
          </w:p>
          <w:p w:rsidR="00000000" w:rsidRPr="00983CD0" w:rsidP="00983CD0">
            <w:pPr>
              <w:pStyle w:val="BodyText"/>
            </w:pPr>
            <w:r w:rsidRPr="00983CD0">
              <w:t>3.3 Recognise vicarious tr</w:t>
            </w:r>
            <w:r w:rsidRPr="00983CD0">
              <w:t xml:space="preserve">auma in self and identify and access support services </w:t>
            </w:r>
          </w:p>
          <w:p w:rsidR="00000000" w:rsidRPr="00983CD0" w:rsidP="00983CD0">
            <w:pPr>
              <w:pStyle w:val="BodyText"/>
            </w:pPr>
            <w:r w:rsidRPr="00983CD0">
              <w:t>3.4 Recognise vicarious trauma in others and develop strategies to respond to this</w:t>
            </w:r>
          </w:p>
          <w:p w:rsidR="00000000" w:rsidP="00983CD0">
            <w:pPr>
              <w:pStyle w:val="BodyText"/>
              <w:rPr>
                <w:lang w:val="en-NZ"/>
              </w:rPr>
            </w:pPr>
          </w:p>
        </w:tc>
      </w:tr>
      <w:tr w:rsidTr="0098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>4. Monitor and review service provision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t>4.1 Seek, discuss and use feedback to identify opportunities for improvement</w:t>
            </w:r>
            <w:r w:rsidRPr="00983CD0">
              <w:t xml:space="preserve"> to service approach </w:t>
            </w:r>
          </w:p>
          <w:p w:rsidR="00000000" w:rsidRPr="00983CD0" w:rsidP="00983CD0">
            <w:pPr>
              <w:pStyle w:val="BodyText"/>
            </w:pPr>
            <w:r w:rsidRPr="00983CD0">
              <w:t>4.2 Identify professional development opportunities to improve own skills and knowledge and action in accordance with organisation procedures</w:t>
            </w:r>
          </w:p>
          <w:p w:rsidR="00000000" w:rsidRPr="00983CD0" w:rsidP="00983CD0">
            <w:pPr>
              <w:pStyle w:val="BodyText"/>
            </w:pPr>
            <w:r w:rsidRPr="00983CD0">
              <w:t xml:space="preserve">4.3 Monitor stress and emotions of self and colleagues and implement strategies to maintain </w:t>
            </w:r>
            <w:r w:rsidRPr="00983CD0">
              <w:t>wellbeing</w:t>
            </w:r>
          </w:p>
          <w:p w:rsidR="00000000" w:rsidRPr="00983CD0" w:rsidP="00983CD0">
            <w:pPr>
              <w:pStyle w:val="BodyText"/>
            </w:pPr>
          </w:p>
        </w:tc>
      </w:tr>
    </w:tbl>
    <w:p w:rsidR="00F40BDA" w:rsidP="00983CD0">
      <w:pPr>
        <w:pStyle w:val="BodyText"/>
      </w:pPr>
    </w:p>
    <w:p w:rsidR="00F40BDA" w:rsidP="00983CD0">
      <w:pPr>
        <w:pStyle w:val="BodyText"/>
      </w:pPr>
    </w:p>
    <w:p w:rsidR="00000000" w:rsidRPr="00983CD0" w:rsidP="00983CD0">
      <w:pPr>
        <w:pStyle w:val="Heading1"/>
      </w:pPr>
      <w:bookmarkStart w:id="4" w:name="O_654987"/>
      <w:bookmarkEnd w:id="4"/>
      <w:r w:rsidRPr="00983CD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98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>The Foundation Skills describe those required skills (employability skills, language, literacy and numeracy) that are essential to performance.</w:t>
            </w:r>
          </w:p>
        </w:tc>
      </w:tr>
      <w:tr w:rsidTr="0098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F40BDA" w:rsidP="00983CD0">
      <w:pPr>
        <w:pStyle w:val="BodyText"/>
      </w:pPr>
    </w:p>
    <w:p w:rsidR="00F40BDA" w:rsidP="00983CD0">
      <w:pPr>
        <w:pStyle w:val="BodyText"/>
      </w:pPr>
    </w:p>
    <w:p w:rsidR="00000000" w:rsidRPr="00983CD0" w:rsidP="00983CD0">
      <w:pPr>
        <w:pStyle w:val="Heading1"/>
      </w:pPr>
      <w:bookmarkStart w:id="5" w:name="O_654989"/>
      <w:bookmarkEnd w:id="5"/>
      <w:r w:rsidRPr="00983CD0">
        <w:t>Unit Mapping Information</w:t>
      </w:r>
    </w:p>
    <w:p w:rsidR="00F40BDA" w:rsidP="00F40BDA">
      <w:pPr>
        <w:pStyle w:val="BodyText"/>
      </w:pPr>
      <w:r w:rsidRPr="00983CD0">
        <w:t>No equivalent unit.</w:t>
      </w:r>
    </w:p>
    <w:p w:rsidR="00000000" w:rsidRPr="00983CD0" w:rsidP="00983CD0">
      <w:pPr>
        <w:pStyle w:val="Heading1"/>
      </w:pPr>
      <w:bookmarkStart w:id="6" w:name="O_654996"/>
      <w:bookmarkEnd w:id="6"/>
      <w:r w:rsidRPr="00983CD0">
        <w:t>Links</w:t>
      </w:r>
    </w:p>
    <w:p w:rsidR="00000000" w:rsidRPr="00983CD0" w:rsidP="00F40BDA">
      <w:pPr>
        <w:pStyle w:val="BodyText"/>
      </w:pPr>
      <w:r w:rsidRPr="00983CD0">
        <w:t>Companion Volume implementation guides are found in VET</w:t>
      </w:r>
      <w:r w:rsidRPr="00983CD0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4172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83CD0" w:rsidP="00F40BDA">
      <w:pPr>
        <w:pStyle w:val="BodyText"/>
        <w:sectPr w:rsidSect="00983C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CD0" w:rsidP="00983CD0">
      <w:pPr>
        <w:pStyle w:val="SuperHeading"/>
      </w:pPr>
      <w:r w:rsidRPr="00983CD0">
        <w:t>Assessment Requirements for CHCSET002 Undertake bicultural work with forced migrants in Australia</w:t>
      </w:r>
    </w:p>
    <w:p w:rsidR="00000000" w:rsidRPr="00983CD0" w:rsidP="00983CD0">
      <w:pPr>
        <w:pStyle w:val="Heading1"/>
      </w:pPr>
      <w:bookmarkStart w:id="7" w:name="O_654991"/>
      <w:bookmarkEnd w:id="7"/>
      <w:r w:rsidRPr="00983C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F40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 xml:space="preserve">Comments </w:t>
            </w:r>
          </w:p>
        </w:tc>
      </w:tr>
      <w:tr w:rsidTr="00F40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CD0">
            <w:pPr>
              <w:pStyle w:val="BodyText"/>
              <w:rPr>
                <w:lang w:val="en-NZ"/>
              </w:rPr>
            </w:pPr>
            <w:r w:rsidRPr="00983CD0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CD0" w:rsidP="00983CD0">
            <w:pPr>
              <w:pStyle w:val="BodyText"/>
            </w:pPr>
            <w:r w:rsidRPr="00983CD0">
              <w:t xml:space="preserve">This version was released in </w:t>
            </w:r>
            <w:r w:rsidRPr="00983CD0">
              <w:rPr>
                <w:rStyle w:val="Emphasis"/>
              </w:rPr>
              <w:t>CHC Community Services Training Package release 2.0</w:t>
            </w:r>
            <w:r w:rsidRPr="00983CD0">
              <w:t xml:space="preserve"> and meets the requirements of the 2012 Standards for Training Packages.</w:t>
            </w:r>
          </w:p>
          <w:p w:rsidR="00000000" w:rsidRPr="00983CD0" w:rsidP="00983CD0">
            <w:pPr>
              <w:pStyle w:val="BodyText"/>
            </w:pPr>
            <w:r w:rsidRPr="00983CD0">
              <w:t xml:space="preserve">Significant changes to performance criteria </w:t>
            </w:r>
          </w:p>
          <w:p w:rsidR="00000000" w:rsidRPr="00983CD0" w:rsidP="00983CD0">
            <w:pPr>
              <w:pStyle w:val="BodyText"/>
            </w:pPr>
            <w:r w:rsidRPr="00983CD0">
              <w:t>New ev</w:t>
            </w:r>
            <w:r w:rsidRPr="00983CD0">
              <w:t>idence requirements for assessment including volume and frequency requirements</w:t>
            </w:r>
          </w:p>
        </w:tc>
      </w:tr>
    </w:tbl>
    <w:p w:rsidR="00000000" w:rsidRPr="00983CD0" w:rsidP="00983CD0">
      <w:pPr>
        <w:pStyle w:val="BodyText"/>
      </w:pPr>
    </w:p>
    <w:p w:rsidR="00000000" w:rsidRPr="00983CD0" w:rsidP="00983CD0">
      <w:pPr>
        <w:pStyle w:val="AllowPageBreak"/>
      </w:pPr>
    </w:p>
    <w:p w:rsidR="00000000" w:rsidRPr="00983CD0" w:rsidP="00983CD0">
      <w:pPr>
        <w:pStyle w:val="Heading1"/>
      </w:pPr>
      <w:bookmarkStart w:id="8" w:name="O_654992"/>
      <w:bookmarkEnd w:id="8"/>
      <w:r w:rsidRPr="00983CD0">
        <w:t>Performance Evidence</w:t>
      </w:r>
    </w:p>
    <w:p w:rsidR="00000000" w:rsidRPr="00983CD0" w:rsidP="00F40BDA">
      <w:pPr>
        <w:pStyle w:val="BodyText"/>
      </w:pPr>
      <w:r w:rsidRPr="00983CD0">
        <w:t>The candidate must show evidence of the ability to complete tasks outlined in elements and performance criteria of this unit, manage task</w:t>
      </w:r>
      <w:r w:rsidRPr="00983CD0">
        <w:t xml:space="preserve">s and manage contingencies in the context of the job role. There must be evidence that the candidate has: </w:t>
      </w:r>
    </w:p>
    <w:p w:rsidR="00000000" w:rsidRPr="00983CD0" w:rsidP="00983CD0">
      <w:pPr>
        <w:pStyle w:val="ListBullet"/>
      </w:pPr>
      <w:r w:rsidRPr="00983CD0">
        <w:t>provided support services to 3 groups of recently arrived migrants and refugees</w:t>
      </w:r>
    </w:p>
    <w:p w:rsidR="00000000" w:rsidRPr="00983CD0" w:rsidP="00983CD0">
      <w:pPr>
        <w:pStyle w:val="ListBullet"/>
      </w:pPr>
      <w:r w:rsidRPr="00983CD0">
        <w:t xml:space="preserve">identified, supported and prioritised the needs of </w:t>
      </w:r>
      <w:r w:rsidRPr="00983CD0">
        <w:t xml:space="preserve">2 clients or client groups demonstrating signs of trauma, and referred to appropriate specialist support services </w:t>
      </w:r>
    </w:p>
    <w:p w:rsidR="00000000" w:rsidRPr="00983CD0" w:rsidP="00983CD0">
      <w:pPr>
        <w:pStyle w:val="AllowPageBreak"/>
      </w:pPr>
    </w:p>
    <w:p w:rsidR="00000000" w:rsidRPr="00983CD0" w:rsidP="00983CD0">
      <w:pPr>
        <w:pStyle w:val="Heading1"/>
      </w:pPr>
      <w:bookmarkStart w:id="9" w:name="O_654993"/>
      <w:bookmarkEnd w:id="9"/>
      <w:r w:rsidRPr="00983CD0">
        <w:t>Knowledge Evidence</w:t>
      </w:r>
    </w:p>
    <w:p w:rsidR="00000000" w:rsidRPr="00983CD0" w:rsidP="00F40BDA">
      <w:pPr>
        <w:pStyle w:val="BodyText"/>
      </w:pPr>
      <w:r w:rsidRPr="00983CD0">
        <w:t>The candidate must be able to demonstrate essential knowledge required to effectively complete tasks outl</w:t>
      </w:r>
      <w:r w:rsidRPr="00983CD0">
        <w:t xml:space="preserve">ined in elements and performance criteria of this unit, manage tasks and manage contingencies in the context of the work role. This includes knowledge of: </w:t>
      </w:r>
    </w:p>
    <w:p w:rsidR="00000000" w:rsidRPr="00983CD0" w:rsidP="00983CD0">
      <w:pPr>
        <w:pStyle w:val="ListBullet"/>
      </w:pPr>
      <w:r w:rsidRPr="00983CD0">
        <w:t>legal and ethical considerations (national, state/territory, local) relevant to settlement services</w:t>
      </w:r>
      <w:r w:rsidRPr="00983CD0">
        <w:t xml:space="preserve"> and how these are applied in organisations and individual practice:</w:t>
      </w:r>
    </w:p>
    <w:p w:rsidR="00000000" w:rsidRPr="00983CD0" w:rsidP="00983CD0">
      <w:pPr>
        <w:pStyle w:val="ListBullet2"/>
      </w:pPr>
      <w:r w:rsidRPr="00983CD0">
        <w:t>privacy, confidentiality and disclosure</w:t>
      </w:r>
    </w:p>
    <w:p w:rsidR="00000000" w:rsidRPr="00983CD0" w:rsidP="00983CD0">
      <w:pPr>
        <w:pStyle w:val="ListBullet2"/>
      </w:pPr>
      <w:r w:rsidRPr="00983CD0">
        <w:t>mandatory reporting</w:t>
      </w:r>
    </w:p>
    <w:p w:rsidR="00000000" w:rsidRPr="00983CD0" w:rsidP="00983CD0">
      <w:pPr>
        <w:pStyle w:val="ListBullet2"/>
      </w:pPr>
      <w:r w:rsidRPr="00983CD0">
        <w:t>conflict of interest and maintaining professional boundaries</w:t>
      </w:r>
    </w:p>
    <w:p w:rsidR="00000000" w:rsidRPr="00983CD0" w:rsidP="00983CD0">
      <w:pPr>
        <w:pStyle w:val="ListBullet2"/>
      </w:pPr>
      <w:r w:rsidRPr="00983CD0">
        <w:t>discrimination</w:t>
      </w:r>
    </w:p>
    <w:p w:rsidR="00000000" w:rsidRPr="00983CD0" w:rsidP="00983CD0">
      <w:pPr>
        <w:pStyle w:val="ListBullet2"/>
      </w:pPr>
      <w:r w:rsidRPr="00983CD0">
        <w:t>access and equity</w:t>
      </w:r>
    </w:p>
    <w:p w:rsidR="00000000" w:rsidRPr="00983CD0" w:rsidP="00983CD0">
      <w:pPr>
        <w:pStyle w:val="ListBullet2"/>
      </w:pPr>
      <w:r w:rsidRPr="00983CD0">
        <w:t>codes of practice</w:t>
      </w:r>
    </w:p>
    <w:p w:rsidR="00000000" w:rsidRPr="00983CD0" w:rsidP="00983CD0">
      <w:pPr>
        <w:pStyle w:val="ListBullet"/>
      </w:pPr>
      <w:r w:rsidRPr="00983CD0">
        <w:t>the impact of</w:t>
      </w:r>
      <w:r w:rsidRPr="00983CD0">
        <w:t xml:space="preserve"> forced migration on the family and the impact of changed roles within the family</w:t>
      </w:r>
    </w:p>
    <w:p w:rsidR="00000000" w:rsidRPr="00983CD0" w:rsidP="00983CD0">
      <w:pPr>
        <w:pStyle w:val="ListBullet"/>
      </w:pPr>
      <w:r w:rsidRPr="00983CD0">
        <w:t>availability of resources and assistance within, and external to, the organisation, including relevant referral networks and how to access their services</w:t>
      </w:r>
    </w:p>
    <w:p w:rsidR="00000000" w:rsidRPr="00983CD0" w:rsidP="00983CD0">
      <w:pPr>
        <w:pStyle w:val="ListBullet"/>
      </w:pPr>
      <w:r w:rsidRPr="00983CD0">
        <w:t>strategies for worker to maintain their own well being and to support well being of colleagues and clients</w:t>
      </w:r>
    </w:p>
    <w:p w:rsidR="00000000" w:rsidRPr="00983CD0" w:rsidP="00983CD0">
      <w:pPr>
        <w:pStyle w:val="ListBullet"/>
      </w:pPr>
      <w:r w:rsidRPr="00983CD0">
        <w:t>time management and stress management techniques</w:t>
      </w:r>
    </w:p>
    <w:p w:rsidR="00000000" w:rsidRPr="00983CD0" w:rsidP="00983CD0">
      <w:pPr>
        <w:pStyle w:val="ListBullet"/>
      </w:pPr>
      <w:r w:rsidRPr="00983CD0">
        <w:t>impact and relevance of trauma and vicarious trauma</w:t>
      </w:r>
    </w:p>
    <w:p w:rsidR="00000000" w:rsidRPr="00983CD0" w:rsidP="00983CD0">
      <w:pPr>
        <w:pStyle w:val="AllowPageBreak"/>
      </w:pPr>
    </w:p>
    <w:p w:rsidR="00000000" w:rsidRPr="00983CD0" w:rsidP="00983CD0">
      <w:pPr>
        <w:pStyle w:val="Heading1"/>
      </w:pPr>
      <w:bookmarkStart w:id="10" w:name="O_654994"/>
      <w:bookmarkEnd w:id="10"/>
      <w:r w:rsidRPr="00983CD0">
        <w:t>Assessment Conditions</w:t>
      </w:r>
    </w:p>
    <w:p w:rsidR="00000000" w:rsidRPr="00983CD0" w:rsidP="00F40BDA">
      <w:pPr>
        <w:pStyle w:val="BodyText"/>
      </w:pPr>
      <w:r w:rsidRPr="00983CD0">
        <w:t>Skills mu</w:t>
      </w:r>
      <w:r w:rsidRPr="00983CD0">
        <w:t>st have been demonstrated in the workplace or in a simulated environment that reflects workplace conditions. Where simulation is used, it must reflect real working conditions by modeling industry operating conditions and contingencies, as well as, using su</w:t>
      </w:r>
      <w:r w:rsidRPr="00983CD0">
        <w:t>itable facilities, equipment and resources.</w:t>
      </w:r>
    </w:p>
    <w:p w:rsidR="00F40BDA" w:rsidP="00F40BDA">
      <w:pPr>
        <w:pStyle w:val="BodyText"/>
      </w:pPr>
      <w:r w:rsidRPr="00983CD0">
        <w:t>Assessors must satisfy the Standards for Registered Training Organisations (RTOs) 2015/AQTF mandatory competency requirements for assessors.</w:t>
      </w:r>
    </w:p>
    <w:p w:rsidR="00000000" w:rsidRPr="00983CD0" w:rsidP="00983CD0">
      <w:pPr>
        <w:pStyle w:val="Heading1"/>
      </w:pPr>
      <w:bookmarkStart w:id="11" w:name="O_654997"/>
      <w:bookmarkEnd w:id="11"/>
      <w:r w:rsidRPr="00983CD0">
        <w:t>Links</w:t>
      </w:r>
    </w:p>
    <w:p w:rsidR="00000000" w:rsidRPr="00983CD0" w:rsidP="00F40BDA">
      <w:pPr>
        <w:pStyle w:val="BodyText"/>
      </w:pPr>
      <w:r w:rsidRPr="00983CD0">
        <w:t>Companion Volume implementation guides are fou</w:t>
      </w:r>
      <w:r w:rsidRPr="00983CD0">
        <w:t xml:space="preserve">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4172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83CD0" w:rsidP="00983CD0"/>
    <w:sectPr w:rsidSect="00983C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D0" w:rsidRPr="00F40BDA" w:rsidP="00F40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DA" w:rsidP="00983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BDA" w:rsidP="00983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40BDA" w:rsidP="00983C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D0" w:rsidP="00983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BDA">
      <w:t>Approved</w:t>
    </w:r>
    <w:r w:rsidR="00F40B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B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BDA">
      <w:rPr>
        <w:noProof/>
      </w:rPr>
      <w:t>4</w:t>
    </w:r>
    <w:r>
      <w:rPr>
        <w:noProof/>
      </w:rPr>
      <w:fldChar w:fldCharType="end"/>
    </w:r>
  </w:p>
  <w:p w:rsidR="00983CD0" w:rsidP="00983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B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BDA">
      <w:t>HumanAbility</w:t>
    </w:r>
    <w:r w:rsidR="00F40BDA">
      <w:fldChar w:fldCharType="end"/>
    </w:r>
  </w:p>
  <w:p w:rsidR="00983CD0" w:rsidP="00983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CD0" w:rsidRPr="00F40BDA" w:rsidP="00F40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DA" w:rsidRPr="002D2AF8" w:rsidP="00983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CHCSET002 Undertake bicultural work with forced migrants in Australia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0BDA" w:rsidP="00983C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D0" w:rsidRPr="002D2AF8" w:rsidP="00983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BDA">
      <w:t>CHCSET002 Undertake bicultural work with forced migrants in Australia</w:t>
    </w:r>
    <w:r w:rsidR="00F40B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BDA">
      <w:rPr>
        <w:noProof/>
      </w:rPr>
      <w:t>2 March 2025</w:t>
    </w:r>
    <w:r>
      <w:fldChar w:fldCharType="end"/>
    </w:r>
  </w:p>
  <w:p w:rsidR="00983CD0" w:rsidP="00983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346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480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C0C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CD0"/>
  </w:style>
  <w:style w:type="character" w:customStyle="1" w:styleId="Heading1Char">
    <w:name w:val="Heading 1 Char"/>
    <w:basedOn w:val="DefaultParagraphFont"/>
    <w:link w:val="Heading1"/>
    <w:rsid w:val="00983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C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CD0"/>
    <w:rPr>
      <w:b/>
      <w:spacing w:val="0"/>
    </w:rPr>
  </w:style>
  <w:style w:type="paragraph" w:styleId="ListBullet2">
    <w:name w:val="List Bullet 2"/>
    <w:basedOn w:val="List2"/>
    <w:rsid w:val="00983C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3CD0"/>
    <w:rPr>
      <w:i/>
    </w:rPr>
  </w:style>
  <w:style w:type="paragraph" w:customStyle="1" w:styleId="SuperHeading">
    <w:name w:val="SuperHeading"/>
    <w:basedOn w:val="Normal"/>
    <w:rsid w:val="00983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C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CD0"/>
  </w:style>
  <w:style w:type="paragraph" w:styleId="TableofFigures">
    <w:name w:val="table of figures"/>
    <w:basedOn w:val="Normal"/>
    <w:next w:val="Normal"/>
    <w:semiHidden/>
    <w:rsid w:val="00983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CD0"/>
    <w:rPr>
      <w:rFonts w:ascii="Wingdings" w:hAnsi="Wingdings"/>
    </w:rPr>
  </w:style>
  <w:style w:type="paragraph" w:customStyle="1" w:styleId="TableHeading">
    <w:name w:val="Table Heading"/>
    <w:basedOn w:val="HeadingBase"/>
    <w:rsid w:val="00983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CD0"/>
    <w:rPr>
      <w:color w:val="0033CC"/>
      <w:u w:val="none"/>
    </w:rPr>
  </w:style>
  <w:style w:type="paragraph" w:customStyle="1" w:styleId="BodyTextRight">
    <w:name w:val="Body Text Right"/>
    <w:basedOn w:val="BodyText"/>
    <w:rsid w:val="00983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CD0"/>
    <w:rPr>
      <w:sz w:val="32"/>
    </w:rPr>
  </w:style>
  <w:style w:type="paragraph" w:customStyle="1" w:styleId="HeadingProcedure">
    <w:name w:val="Heading Procedure"/>
    <w:basedOn w:val="HeadingBase"/>
    <w:next w:val="Normal"/>
    <w:rsid w:val="00983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CD0"/>
    <w:pPr>
      <w:spacing w:before="60" w:after="60"/>
    </w:pPr>
  </w:style>
  <w:style w:type="paragraph" w:styleId="ListContinue">
    <w:name w:val="List Continue"/>
    <w:basedOn w:val="List"/>
    <w:rsid w:val="00983CD0"/>
    <w:pPr>
      <w:ind w:firstLine="0"/>
    </w:pPr>
  </w:style>
  <w:style w:type="paragraph" w:customStyle="1" w:styleId="ListNote">
    <w:name w:val="List Note"/>
    <w:basedOn w:val="List"/>
    <w:rsid w:val="00983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CD0"/>
    <w:rPr>
      <w:rFonts w:ascii="Courier New" w:hAnsi="Courier New"/>
    </w:rPr>
  </w:style>
  <w:style w:type="paragraph" w:customStyle="1" w:styleId="NoteBullet">
    <w:name w:val="Note Bullet"/>
    <w:basedOn w:val="Note"/>
    <w:rsid w:val="00983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CD0"/>
    <w:rPr>
      <w:b/>
      <w:smallCaps/>
    </w:rPr>
  </w:style>
  <w:style w:type="paragraph" w:customStyle="1" w:styleId="TableListNumber">
    <w:name w:val="Table List Number"/>
    <w:basedOn w:val="ListNumber"/>
    <w:rsid w:val="00983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CD0"/>
    <w:pPr>
      <w:numPr>
        <w:numId w:val="9"/>
      </w:numPr>
    </w:pPr>
  </w:style>
  <w:style w:type="paragraph" w:customStyle="1" w:styleId="ListAlpha2">
    <w:name w:val="List Alpha 2"/>
    <w:basedOn w:val="List2"/>
    <w:rsid w:val="00983CD0"/>
    <w:pPr>
      <w:numPr>
        <w:numId w:val="8"/>
      </w:numPr>
    </w:pPr>
  </w:style>
  <w:style w:type="paragraph" w:styleId="List2">
    <w:name w:val="List 2"/>
    <w:basedOn w:val="BodyText"/>
    <w:rsid w:val="00983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CD0"/>
    <w:pPr>
      <w:numPr>
        <w:numId w:val="4"/>
      </w:numPr>
    </w:pPr>
  </w:style>
  <w:style w:type="paragraph" w:styleId="ListContinue2">
    <w:name w:val="List Continue 2"/>
    <w:basedOn w:val="List2"/>
    <w:rsid w:val="00983CD0"/>
    <w:pPr>
      <w:ind w:firstLine="0"/>
    </w:pPr>
  </w:style>
  <w:style w:type="paragraph" w:styleId="ListContinue3">
    <w:name w:val="List Continue 3"/>
    <w:basedOn w:val="List3"/>
    <w:rsid w:val="00983CD0"/>
    <w:pPr>
      <w:ind w:left="1021" w:firstLine="0"/>
    </w:pPr>
  </w:style>
  <w:style w:type="paragraph" w:styleId="ListContinue4">
    <w:name w:val="List Continue 4"/>
    <w:basedOn w:val="List4"/>
    <w:rsid w:val="00983CD0"/>
    <w:pPr>
      <w:ind w:firstLine="0"/>
    </w:pPr>
  </w:style>
  <w:style w:type="paragraph" w:styleId="ListContinue5">
    <w:name w:val="List Continue 5"/>
    <w:basedOn w:val="List5"/>
    <w:rsid w:val="00983CD0"/>
    <w:pPr>
      <w:ind w:firstLine="0"/>
    </w:pPr>
  </w:style>
  <w:style w:type="paragraph" w:styleId="ListNumber3">
    <w:name w:val="List Number 3"/>
    <w:basedOn w:val="List3"/>
    <w:rsid w:val="00983CD0"/>
    <w:pPr>
      <w:numPr>
        <w:numId w:val="5"/>
      </w:numPr>
    </w:pPr>
  </w:style>
  <w:style w:type="paragraph" w:styleId="ListNumber4">
    <w:name w:val="List Number 4"/>
    <w:basedOn w:val="List4"/>
    <w:rsid w:val="00983CD0"/>
    <w:pPr>
      <w:numPr>
        <w:numId w:val="6"/>
      </w:numPr>
    </w:pPr>
  </w:style>
  <w:style w:type="paragraph" w:styleId="ListNumber5">
    <w:name w:val="List Number 5"/>
    <w:basedOn w:val="List5"/>
    <w:rsid w:val="00983CD0"/>
    <w:pPr>
      <w:numPr>
        <w:numId w:val="7"/>
      </w:numPr>
    </w:pPr>
  </w:style>
  <w:style w:type="paragraph" w:styleId="BlockText">
    <w:name w:val="Block Text"/>
    <w:basedOn w:val="Normal"/>
    <w:rsid w:val="00983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CD0"/>
    <w:rPr>
      <w:sz w:val="16"/>
      <w:vertAlign w:val="superscript"/>
    </w:rPr>
  </w:style>
  <w:style w:type="character" w:customStyle="1" w:styleId="Symbols">
    <w:name w:val="Symbols"/>
    <w:basedOn w:val="DefaultParagraphFont"/>
    <w:rsid w:val="00983CD0"/>
    <w:rPr>
      <w:rFonts w:ascii="Symbol" w:hAnsi="Symbol"/>
    </w:rPr>
  </w:style>
  <w:style w:type="character" w:customStyle="1" w:styleId="MenuOptions">
    <w:name w:val="Menu Options"/>
    <w:basedOn w:val="DefaultParagraphFont"/>
    <w:rsid w:val="00983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CD0"/>
    <w:rPr>
      <w:b/>
    </w:rPr>
  </w:style>
  <w:style w:type="character" w:customStyle="1" w:styleId="Underlined">
    <w:name w:val="Underlined"/>
    <w:basedOn w:val="DefaultParagraphFont"/>
    <w:rsid w:val="00983CD0"/>
    <w:rPr>
      <w:u w:val="single"/>
    </w:rPr>
  </w:style>
  <w:style w:type="paragraph" w:customStyle="1" w:styleId="TableBodyTextRight">
    <w:name w:val="Table Body Text Right"/>
    <w:basedOn w:val="TableBodyText"/>
    <w:rsid w:val="00983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CD0"/>
    <w:rPr>
      <w:sz w:val="18"/>
    </w:rPr>
  </w:style>
  <w:style w:type="paragraph" w:customStyle="1" w:styleId="BodySmallRight">
    <w:name w:val="Body Small Right"/>
    <w:basedOn w:val="BodyTextRight"/>
    <w:rsid w:val="00983CD0"/>
    <w:rPr>
      <w:sz w:val="18"/>
      <w:szCs w:val="18"/>
    </w:rPr>
  </w:style>
  <w:style w:type="paragraph" w:customStyle="1" w:styleId="MarginEdition">
    <w:name w:val="Margin Edition"/>
    <w:basedOn w:val="MarginNote"/>
    <w:rsid w:val="00983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CD0"/>
    <w:rPr>
      <w:sz w:val="2"/>
      <w:szCs w:val="2"/>
    </w:rPr>
  </w:style>
  <w:style w:type="character" w:customStyle="1" w:styleId="Small">
    <w:name w:val="Small"/>
    <w:basedOn w:val="DefaultParagraphFont"/>
    <w:rsid w:val="00983CD0"/>
    <w:rPr>
      <w:sz w:val="16"/>
    </w:rPr>
  </w:style>
  <w:style w:type="paragraph" w:customStyle="1" w:styleId="WideTable">
    <w:name w:val="Wide Table"/>
    <w:basedOn w:val="Normal"/>
    <w:rsid w:val="00983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CD0"/>
  </w:style>
  <w:style w:type="paragraph" w:styleId="Quote">
    <w:name w:val="Quote"/>
    <w:basedOn w:val="Heading1"/>
    <w:link w:val="QuoteChar"/>
    <w:qFormat/>
    <w:rsid w:val="00983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CD0"/>
    <w:pPr>
      <w:pageBreakBefore/>
    </w:pPr>
  </w:style>
  <w:style w:type="paragraph" w:customStyle="1" w:styleId="Border">
    <w:name w:val="Border"/>
    <w:basedOn w:val="Normal"/>
    <w:qFormat/>
    <w:rsid w:val="00983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CD0"/>
    <w:rPr>
      <w:u w:val="single"/>
    </w:rPr>
  </w:style>
  <w:style w:type="character" w:customStyle="1" w:styleId="BoldandItalics">
    <w:name w:val="Bold and Italics"/>
    <w:qFormat/>
    <w:rsid w:val="00983CD0"/>
    <w:rPr>
      <w:b/>
      <w:i/>
      <w:u w:val="none"/>
    </w:rPr>
  </w:style>
  <w:style w:type="paragraph" w:styleId="BalloonText">
    <w:name w:val="Balloon Text"/>
    <w:basedOn w:val="Normal"/>
    <w:link w:val="BalloonTextChar"/>
    <w:rsid w:val="00983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CD0"/>
    <w:pPr>
      <w:spacing w:before="0" w:after="0"/>
    </w:pPr>
  </w:style>
  <w:style w:type="paragraph" w:customStyle="1" w:styleId="BodyTextBold">
    <w:name w:val="Body Text Bold"/>
    <w:basedOn w:val="BodyText"/>
    <w:qFormat/>
    <w:rsid w:val="00983CD0"/>
    <w:rPr>
      <w:b/>
    </w:rPr>
  </w:style>
  <w:style w:type="character" w:styleId="Hyperlink">
    <w:name w:val="Hyperlink"/>
    <w:basedOn w:val="DefaultParagraphFont"/>
    <w:uiPriority w:val="99"/>
    <w:unhideWhenUsed/>
    <w:rsid w:val="00F40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5782</Characters>
  <Application>Microsoft Office Word</Application>
  <DocSecurity>0</DocSecurity>
  <Lines>165</Lines>
  <Paragraphs>94</Paragraphs>
  <ScaleCrop>false</ScaleCrop>
  <Company>Author-it Software Corporation Ltd.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CHCSET002 Undertake bicultural work with forced migrants in Australia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