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81B" w:rsidP="002A0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CHCPRT026 Support the rights and safety of children and young people</w:t>
      </w:r>
      <w:r>
        <w:fldChar w:fldCharType="end"/>
      </w:r>
    </w:p>
    <w:p w:rsidR="002A081B" w:rsidP="002A081B">
      <w:pPr>
        <w:pStyle w:val="Version"/>
        <w:sectPr w:rsidSect="00DA3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3F4" w:rsidP="00DA33F4">
      <w:pPr>
        <w:pStyle w:val="SuperHeading"/>
      </w:pPr>
      <w:r w:rsidRPr="00DA33F4">
        <w:t>Assessment Requirements for CHCPRT026 Support the rights and safety of children and young people</w:t>
      </w:r>
    </w:p>
    <w:p w:rsidR="00000000" w:rsidRPr="00DA33F4" w:rsidP="00DA33F4">
      <w:pPr>
        <w:pStyle w:val="Heading1"/>
      </w:pPr>
      <w:bookmarkStart w:id="1" w:name="O_1276889"/>
      <w:bookmarkEnd w:id="1"/>
      <w:r w:rsidRPr="00DA33F4">
        <w:t>Modification History</w:t>
      </w:r>
    </w:p>
    <w:p w:rsidR="00000000" w:rsidRPr="00DA33F4" w:rsidP="002A081B">
      <w:pPr>
        <w:pStyle w:val="BodyText"/>
      </w:pPr>
      <w:r w:rsidRPr="00DA33F4">
        <w:t>Not applicable.</w:t>
      </w:r>
    </w:p>
    <w:p w:rsidR="00000000" w:rsidRPr="00DA33F4" w:rsidP="00DA33F4">
      <w:pPr>
        <w:pStyle w:val="Heading1"/>
      </w:pPr>
      <w:bookmarkStart w:id="2" w:name="O_1276892"/>
      <w:bookmarkEnd w:id="2"/>
      <w:r w:rsidRPr="00DA33F4">
        <w:t>Performance Evidence</w:t>
      </w:r>
    </w:p>
    <w:p w:rsidR="00000000" w:rsidRPr="00DA33F4" w:rsidP="002A081B">
      <w:pPr>
        <w:pStyle w:val="BodyText"/>
      </w:pPr>
      <w:r w:rsidRPr="00DA33F4">
        <w:t>Evidence of the ability to complete tasks outlined in elements and performance criteria of this unit in the context of the job role, and:</w:t>
      </w:r>
    </w:p>
    <w:p w:rsidR="00000000" w:rsidRPr="00DA33F4" w:rsidP="00DA33F4">
      <w:pPr>
        <w:pStyle w:val="ListBullet"/>
      </w:pPr>
      <w:r w:rsidRPr="00DA33F4">
        <w:t>implement work practices which support the protection of at least two children and young people, including:</w:t>
      </w:r>
    </w:p>
    <w:p w:rsidR="00000000" w:rsidRPr="00DA33F4" w:rsidP="00DA33F4">
      <w:pPr>
        <w:pStyle w:val="ListBullet2"/>
      </w:pPr>
      <w:r w:rsidRPr="00DA33F4">
        <w:t>complyin</w:t>
      </w:r>
      <w:r w:rsidRPr="00DA33F4">
        <w:t>g with regulations, legislation and duty of care responsibilities</w:t>
      </w:r>
    </w:p>
    <w:p w:rsidR="00000000" w:rsidRPr="00DA33F4" w:rsidP="00DA33F4">
      <w:pPr>
        <w:pStyle w:val="ListBullet2"/>
      </w:pPr>
      <w:r w:rsidRPr="00DA33F4">
        <w:t>employing child-focused work practices to uphold the rights of children and young people</w:t>
      </w:r>
    </w:p>
    <w:p w:rsidR="00000000" w:rsidRPr="00DA33F4" w:rsidP="00DA33F4">
      <w:pPr>
        <w:pStyle w:val="ListBullet2"/>
      </w:pPr>
      <w:r w:rsidRPr="00DA33F4">
        <w:t>maintaining confidentiality</w:t>
      </w:r>
    </w:p>
    <w:p w:rsidR="00000000" w:rsidRPr="00DA33F4" w:rsidP="00DA33F4">
      <w:pPr>
        <w:pStyle w:val="ListBullet"/>
      </w:pPr>
      <w:r w:rsidRPr="00DA33F4">
        <w:t>use communication strategies to gather information from children and you</w:t>
      </w:r>
      <w:r w:rsidRPr="00DA33F4">
        <w:t>ng people</w:t>
      </w:r>
    </w:p>
    <w:p w:rsidR="00000000" w:rsidRPr="00DA33F4" w:rsidP="00DA33F4">
      <w:pPr>
        <w:pStyle w:val="ListBullet"/>
      </w:pPr>
      <w:r w:rsidRPr="00DA33F4">
        <w:t>identify and respond to indicators of children or young people at threat of harm and abuse on at least two separate occasions, including:</w:t>
      </w:r>
    </w:p>
    <w:p w:rsidR="00000000" w:rsidRPr="00DA33F4" w:rsidP="00DA33F4">
      <w:pPr>
        <w:pStyle w:val="ListBullet2"/>
      </w:pPr>
      <w:r w:rsidRPr="00DA33F4">
        <w:t>gathering and recording information about the child or young person</w:t>
      </w:r>
    </w:p>
    <w:p w:rsidR="00000000" w:rsidRPr="00DA33F4" w:rsidP="00DA33F4">
      <w:pPr>
        <w:pStyle w:val="ListBullet2"/>
      </w:pPr>
      <w:r w:rsidRPr="00DA33F4">
        <w:t xml:space="preserve">identifying uncharacteristic behaviour </w:t>
      </w:r>
      <w:r w:rsidRPr="00DA33F4">
        <w:t>of child or young person</w:t>
      </w:r>
    </w:p>
    <w:p w:rsidR="00000000" w:rsidRPr="00DA33F4" w:rsidP="00DA33F4">
      <w:pPr>
        <w:pStyle w:val="ListBullet2"/>
      </w:pPr>
      <w:r w:rsidRPr="00DA33F4">
        <w:t>monitoring the circumstances of children or young people identified as highly vulnerable</w:t>
      </w:r>
    </w:p>
    <w:p w:rsidR="00000000" w:rsidRPr="00DA33F4" w:rsidP="00DA33F4">
      <w:pPr>
        <w:pStyle w:val="ListBullet"/>
      </w:pPr>
      <w:r w:rsidRPr="00DA33F4">
        <w:t>report threat-of-harm indicators</w:t>
      </w:r>
    </w:p>
    <w:p w:rsidR="00000000" w:rsidRPr="00DA33F4" w:rsidP="00DA33F4">
      <w:pPr>
        <w:pStyle w:val="ListBullet"/>
      </w:pPr>
      <w:r w:rsidRPr="00DA33F4">
        <w:t>seek support from supervisor on at least two occasions for issues of ethical concern.</w:t>
      </w:r>
    </w:p>
    <w:p w:rsidR="00000000" w:rsidRPr="00DA33F4" w:rsidP="00DA33F4">
      <w:pPr>
        <w:pStyle w:val="AllowPageBreak"/>
      </w:pPr>
    </w:p>
    <w:p w:rsidR="00000000" w:rsidRPr="00DA33F4" w:rsidP="00DA33F4">
      <w:pPr>
        <w:pStyle w:val="Heading1"/>
      </w:pPr>
      <w:bookmarkStart w:id="3" w:name="O_1276891"/>
      <w:bookmarkEnd w:id="3"/>
      <w:r w:rsidRPr="00DA33F4">
        <w:t>Knowledge Evidence</w:t>
      </w:r>
    </w:p>
    <w:p w:rsidR="00000000" w:rsidRPr="00DA33F4" w:rsidP="002A081B">
      <w:pPr>
        <w:pStyle w:val="BodyText"/>
      </w:pPr>
      <w:r w:rsidRPr="00DA33F4">
        <w:t>Demonstrated knowledge required to complete the tasks outlined in elements and performance criteria of this unit:</w:t>
      </w:r>
    </w:p>
    <w:p w:rsidR="00000000" w:rsidRPr="00DA33F4" w:rsidP="00DA33F4">
      <w:pPr>
        <w:pStyle w:val="ListBullet"/>
      </w:pPr>
      <w:r w:rsidRPr="00DA33F4">
        <w:t>key aspects of the United Nations Convention on the Rights of the Child</w:t>
      </w:r>
    </w:p>
    <w:p w:rsidR="00000000" w:rsidRPr="00DA33F4" w:rsidP="00DA33F4">
      <w:pPr>
        <w:pStyle w:val="ListBullet"/>
      </w:pPr>
      <w:r w:rsidRPr="00DA33F4">
        <w:t>child and young person focused practices</w:t>
      </w:r>
    </w:p>
    <w:p w:rsidR="00000000" w:rsidRPr="00DA33F4" w:rsidP="00DA33F4">
      <w:pPr>
        <w:pStyle w:val="ListBullet"/>
      </w:pPr>
      <w:r w:rsidRPr="00DA33F4">
        <w:t>child-saf</w:t>
      </w:r>
      <w:r w:rsidRPr="00DA33F4">
        <w:t>e standards</w:t>
      </w:r>
    </w:p>
    <w:p w:rsidR="00000000" w:rsidRPr="00DA33F4" w:rsidP="00DA33F4">
      <w:pPr>
        <w:pStyle w:val="ListBullet"/>
      </w:pPr>
      <w:r w:rsidRPr="00DA33F4">
        <w:t>Commonwealth, State or Territory legislation relating to working with children and young people</w:t>
      </w:r>
    </w:p>
    <w:p w:rsidR="00000000" w:rsidRPr="00DA33F4" w:rsidP="00DA33F4">
      <w:pPr>
        <w:pStyle w:val="ListBullet"/>
      </w:pPr>
      <w:r w:rsidRPr="00DA33F4">
        <w:t>child protection system, including polices and protocols</w:t>
      </w:r>
    </w:p>
    <w:p w:rsidR="00000000" w:rsidRPr="00DA33F4" w:rsidP="00DA33F4">
      <w:pPr>
        <w:pStyle w:val="ListBullet"/>
      </w:pPr>
      <w:r w:rsidRPr="00DA33F4">
        <w:t>common legal issues when working with children and young people</w:t>
      </w:r>
    </w:p>
    <w:p w:rsidR="00000000" w:rsidRPr="00DA33F4" w:rsidP="00DA33F4">
      <w:pPr>
        <w:pStyle w:val="ListBullet"/>
      </w:pPr>
      <w:r w:rsidRPr="00DA33F4">
        <w:t xml:space="preserve">techniques used to support </w:t>
      </w:r>
      <w:r w:rsidRPr="00DA33F4">
        <w:t>children and young people</w:t>
      </w:r>
    </w:p>
    <w:p w:rsidR="00000000" w:rsidRPr="00DA33F4" w:rsidP="00DA33F4">
      <w:pPr>
        <w:pStyle w:val="ListBullet"/>
      </w:pPr>
      <w:r w:rsidRPr="00DA33F4">
        <w:t>moral and ethical practices for working with children and young people</w:t>
      </w:r>
    </w:p>
    <w:p w:rsidR="00000000" w:rsidRPr="00DA33F4" w:rsidP="00DA33F4">
      <w:pPr>
        <w:pStyle w:val="ListBullet"/>
      </w:pPr>
      <w:r w:rsidRPr="00DA33F4">
        <w:t>professional boundaries</w:t>
      </w:r>
    </w:p>
    <w:p w:rsidR="00000000" w:rsidRPr="00DA33F4" w:rsidP="00DA33F4">
      <w:pPr>
        <w:pStyle w:val="ListBullet"/>
      </w:pPr>
      <w:r w:rsidRPr="00DA33F4">
        <w:t>risk-of-harm indicators</w:t>
      </w:r>
    </w:p>
    <w:p w:rsidR="00000000" w:rsidRPr="00DA33F4" w:rsidP="00DA33F4">
      <w:pPr>
        <w:pStyle w:val="ListBullet"/>
      </w:pPr>
      <w:r w:rsidRPr="00DA33F4">
        <w:t>organisational standards, poli</w:t>
      </w:r>
      <w:r w:rsidRPr="00DA33F4">
        <w:t>cies and procedures and accepted standards for responding to risks of harm to children and young people</w:t>
      </w:r>
    </w:p>
    <w:p w:rsidR="00000000" w:rsidRPr="00DA33F4" w:rsidP="00DA33F4">
      <w:pPr>
        <w:pStyle w:val="ListBullet"/>
      </w:pPr>
      <w:r w:rsidRPr="00DA33F4">
        <w:t>overview of relevant aspects of the legal system</w:t>
      </w:r>
    </w:p>
    <w:p w:rsidR="00000000" w:rsidRPr="00DA33F4" w:rsidP="00DA33F4">
      <w:pPr>
        <w:pStyle w:val="ListBullet"/>
      </w:pPr>
      <w:r w:rsidRPr="00DA33F4">
        <w:t>communication techniques to engage and interact with children and young people.</w:t>
      </w:r>
    </w:p>
    <w:p w:rsidR="00000000" w:rsidRPr="00DA33F4" w:rsidP="00DA33F4">
      <w:pPr>
        <w:pStyle w:val="AllowPageBreak"/>
      </w:pPr>
    </w:p>
    <w:p w:rsidR="00000000" w:rsidRPr="00DA33F4" w:rsidP="00DA33F4">
      <w:pPr>
        <w:pStyle w:val="Heading1"/>
      </w:pPr>
      <w:bookmarkStart w:id="4" w:name="O_1276890"/>
      <w:bookmarkEnd w:id="4"/>
      <w:r w:rsidRPr="00DA33F4">
        <w:t>Asse</w:t>
      </w:r>
      <w:r w:rsidRPr="00DA33F4">
        <w:t>ssment Conditions</w:t>
      </w:r>
    </w:p>
    <w:p w:rsidR="00000000" w:rsidRPr="00DA33F4" w:rsidP="002A081B">
      <w:pPr>
        <w:pStyle w:val="BodyText"/>
      </w:pPr>
      <w:r w:rsidRPr="00DA33F4">
        <w:t>Skills must be demonstrated in the workplace, with the addition of simulations and scenarios where the full range of contexts and situations have not been provided in the workplace.</w:t>
      </w:r>
    </w:p>
    <w:p w:rsidR="00000000" w:rsidRPr="00DA33F4" w:rsidP="002A081B">
      <w:pPr>
        <w:pStyle w:val="BodyText"/>
      </w:pPr>
      <w:r w:rsidRPr="00DA33F4">
        <w:t>Assessment must ensure:</w:t>
      </w:r>
    </w:p>
    <w:p w:rsidR="00000000" w:rsidRPr="00DA33F4" w:rsidP="00DA33F4">
      <w:pPr>
        <w:pStyle w:val="ListBullet"/>
      </w:pPr>
      <w:r w:rsidRPr="00DA33F4">
        <w:t>access to facilities, equipment</w:t>
      </w:r>
      <w:r w:rsidRPr="00DA33F4">
        <w:t xml:space="preserve"> and resources that reflect real working conditions and model industry operating conditions and contingencies</w:t>
      </w:r>
    </w:p>
    <w:p w:rsidR="00000000" w:rsidRPr="00DA33F4" w:rsidP="00DA33F4">
      <w:pPr>
        <w:pStyle w:val="ListBullet"/>
      </w:pPr>
      <w:r w:rsidRPr="00DA33F4">
        <w:t>access to organisational policies and procedures</w:t>
      </w:r>
    </w:p>
    <w:p w:rsidR="00000000" w:rsidRPr="00DA33F4" w:rsidP="00DA33F4">
      <w:pPr>
        <w:pStyle w:val="ListBullet"/>
      </w:pPr>
      <w:r w:rsidRPr="00DA33F4">
        <w:t>access to relevant Commonwealth, State or Territory legislation</w:t>
      </w:r>
    </w:p>
    <w:p w:rsidR="00000000" w:rsidRPr="00DA33F4" w:rsidP="00DA33F4">
      <w:pPr>
        <w:pStyle w:val="ListBullet"/>
      </w:pPr>
      <w:r w:rsidRPr="00DA33F4">
        <w:t>opportunities for engagement with</w:t>
      </w:r>
      <w:r w:rsidRPr="00DA33F4">
        <w:t xml:space="preserve"> real children and young people. </w:t>
      </w:r>
    </w:p>
    <w:p w:rsidR="00000000" w:rsidRPr="00DA33F4" w:rsidP="002A081B">
      <w:pPr>
        <w:pStyle w:val="BodyText"/>
      </w:pPr>
      <w:r w:rsidRPr="00DA33F4">
        <w:t>Assessors must satisfy the Standards for Registered Training Organisations’ requirements for assessors.</w:t>
      </w:r>
    </w:p>
    <w:p w:rsidR="00000000" w:rsidRPr="00DA33F4" w:rsidP="00DA33F4">
      <w:pPr>
        <w:pStyle w:val="Heading1"/>
      </w:pPr>
      <w:bookmarkStart w:id="5" w:name="O_1276888"/>
      <w:bookmarkEnd w:id="5"/>
      <w:r w:rsidRPr="00DA33F4">
        <w:t>Links</w:t>
      </w:r>
    </w:p>
    <w:p w:rsidR="00000000" w:rsidRPr="00DA33F4" w:rsidP="002A081B">
      <w:pPr>
        <w:pStyle w:val="BodyText"/>
      </w:pPr>
      <w:r w:rsidRPr="00DA33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7041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A33F4" w:rsidP="00DA33F4"/>
    <w:sectPr w:rsidSect="00DA33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3F4" w:rsidRPr="002A081B" w:rsidP="002A0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1B" w:rsidP="00DA3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081B" w:rsidP="00DA3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081B" w:rsidP="00DA3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3F4" w:rsidRPr="002A081B" w:rsidP="002A0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1B" w:rsidRPr="002D2AF8" w:rsidP="00DA3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CHCPRT026 Support the rights and safety of children and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A081B" w:rsidP="00DA3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2D6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E8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AEF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3F4"/>
  </w:style>
  <w:style w:type="character" w:customStyle="1" w:styleId="Heading1Char">
    <w:name w:val="Heading 1 Char"/>
    <w:basedOn w:val="DefaultParagraphFont"/>
    <w:link w:val="Heading1"/>
    <w:rsid w:val="00DA3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3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3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33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3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3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33F4"/>
    <w:rPr>
      <w:b/>
      <w:spacing w:val="0"/>
    </w:rPr>
  </w:style>
  <w:style w:type="paragraph" w:customStyle="1" w:styleId="SuperTitle">
    <w:name w:val="SuperTitle"/>
    <w:basedOn w:val="Title"/>
    <w:rsid w:val="00DA3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3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3F4"/>
    <w:rPr>
      <w:i/>
    </w:rPr>
  </w:style>
  <w:style w:type="paragraph" w:styleId="Caption">
    <w:name w:val="caption"/>
    <w:basedOn w:val="BodyText"/>
    <w:next w:val="Normal"/>
    <w:qFormat/>
    <w:rsid w:val="00DA3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3F4"/>
  </w:style>
  <w:style w:type="paragraph" w:styleId="TableofFigures">
    <w:name w:val="table of figures"/>
    <w:basedOn w:val="Normal"/>
    <w:next w:val="Normal"/>
    <w:semiHidden/>
    <w:rsid w:val="00DA3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3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3F4"/>
    <w:rPr>
      <w:rFonts w:ascii="Wingdings" w:hAnsi="Wingdings"/>
    </w:rPr>
  </w:style>
  <w:style w:type="paragraph" w:customStyle="1" w:styleId="TableHeading">
    <w:name w:val="Table Heading"/>
    <w:basedOn w:val="HeadingBase"/>
    <w:rsid w:val="00DA33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3F4"/>
    <w:rPr>
      <w:color w:val="0033CC"/>
      <w:u w:val="none"/>
    </w:rPr>
  </w:style>
  <w:style w:type="paragraph" w:customStyle="1" w:styleId="BodyTextRight">
    <w:name w:val="Body Text Right"/>
    <w:basedOn w:val="BodyText"/>
    <w:rsid w:val="00DA3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3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3F4"/>
    <w:rPr>
      <w:sz w:val="32"/>
    </w:rPr>
  </w:style>
  <w:style w:type="paragraph" w:customStyle="1" w:styleId="HeadingProcedure">
    <w:name w:val="Heading Procedure"/>
    <w:basedOn w:val="HeadingBase"/>
    <w:next w:val="Normal"/>
    <w:rsid w:val="00DA3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3F4"/>
    <w:pPr>
      <w:spacing w:before="60" w:after="60"/>
    </w:pPr>
  </w:style>
  <w:style w:type="paragraph" w:styleId="ListContinue">
    <w:name w:val="List Continue"/>
    <w:basedOn w:val="List"/>
    <w:rsid w:val="00DA33F4"/>
    <w:pPr>
      <w:ind w:firstLine="0"/>
    </w:pPr>
  </w:style>
  <w:style w:type="paragraph" w:customStyle="1" w:styleId="ListNote">
    <w:name w:val="List Note"/>
    <w:basedOn w:val="List"/>
    <w:rsid w:val="00DA3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3F4"/>
    <w:rPr>
      <w:rFonts w:ascii="Courier New" w:hAnsi="Courier New"/>
    </w:rPr>
  </w:style>
  <w:style w:type="paragraph" w:customStyle="1" w:styleId="NoteBullet">
    <w:name w:val="Note Bullet"/>
    <w:basedOn w:val="Note"/>
    <w:rsid w:val="00DA3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3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3F4"/>
    <w:rPr>
      <w:b/>
      <w:smallCaps/>
    </w:rPr>
  </w:style>
  <w:style w:type="paragraph" w:customStyle="1" w:styleId="TableListNumber">
    <w:name w:val="Table List Number"/>
    <w:basedOn w:val="ListNumber"/>
    <w:rsid w:val="00DA3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3F4"/>
    <w:pPr>
      <w:numPr>
        <w:numId w:val="9"/>
      </w:numPr>
    </w:pPr>
  </w:style>
  <w:style w:type="paragraph" w:customStyle="1" w:styleId="ListAlpha2">
    <w:name w:val="List Alpha 2"/>
    <w:basedOn w:val="List2"/>
    <w:rsid w:val="00DA33F4"/>
    <w:pPr>
      <w:numPr>
        <w:numId w:val="8"/>
      </w:numPr>
    </w:pPr>
  </w:style>
  <w:style w:type="paragraph" w:styleId="List2">
    <w:name w:val="List 2"/>
    <w:basedOn w:val="BodyText"/>
    <w:rsid w:val="00DA3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3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3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3F4"/>
    <w:pPr>
      <w:numPr>
        <w:numId w:val="4"/>
      </w:numPr>
    </w:pPr>
  </w:style>
  <w:style w:type="paragraph" w:styleId="ListContinue2">
    <w:name w:val="List Continue 2"/>
    <w:basedOn w:val="List2"/>
    <w:rsid w:val="00DA33F4"/>
    <w:pPr>
      <w:ind w:firstLine="0"/>
    </w:pPr>
  </w:style>
  <w:style w:type="paragraph" w:styleId="ListContinue3">
    <w:name w:val="List Continue 3"/>
    <w:basedOn w:val="List3"/>
    <w:rsid w:val="00DA33F4"/>
    <w:pPr>
      <w:ind w:left="1021" w:firstLine="0"/>
    </w:pPr>
  </w:style>
  <w:style w:type="paragraph" w:styleId="ListContinue4">
    <w:name w:val="List Continue 4"/>
    <w:basedOn w:val="List4"/>
    <w:rsid w:val="00DA33F4"/>
    <w:pPr>
      <w:ind w:firstLine="0"/>
    </w:pPr>
  </w:style>
  <w:style w:type="paragraph" w:styleId="ListContinue5">
    <w:name w:val="List Continue 5"/>
    <w:basedOn w:val="List5"/>
    <w:rsid w:val="00DA33F4"/>
    <w:pPr>
      <w:ind w:firstLine="0"/>
    </w:pPr>
  </w:style>
  <w:style w:type="paragraph" w:styleId="ListNumber3">
    <w:name w:val="List Number 3"/>
    <w:basedOn w:val="List3"/>
    <w:rsid w:val="00DA33F4"/>
    <w:pPr>
      <w:numPr>
        <w:numId w:val="5"/>
      </w:numPr>
    </w:pPr>
  </w:style>
  <w:style w:type="paragraph" w:styleId="ListNumber4">
    <w:name w:val="List Number 4"/>
    <w:basedOn w:val="List4"/>
    <w:rsid w:val="00DA33F4"/>
    <w:pPr>
      <w:numPr>
        <w:numId w:val="6"/>
      </w:numPr>
    </w:pPr>
  </w:style>
  <w:style w:type="paragraph" w:styleId="ListNumber5">
    <w:name w:val="List Number 5"/>
    <w:basedOn w:val="List5"/>
    <w:rsid w:val="00DA33F4"/>
    <w:pPr>
      <w:numPr>
        <w:numId w:val="7"/>
      </w:numPr>
    </w:pPr>
  </w:style>
  <w:style w:type="paragraph" w:styleId="BlockText">
    <w:name w:val="Block Text"/>
    <w:basedOn w:val="Normal"/>
    <w:rsid w:val="00DA3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3F4"/>
    <w:rPr>
      <w:sz w:val="16"/>
      <w:vertAlign w:val="superscript"/>
    </w:rPr>
  </w:style>
  <w:style w:type="character" w:customStyle="1" w:styleId="Symbols">
    <w:name w:val="Symbols"/>
    <w:basedOn w:val="DefaultParagraphFont"/>
    <w:rsid w:val="00DA33F4"/>
    <w:rPr>
      <w:rFonts w:ascii="Symbol" w:hAnsi="Symbol"/>
    </w:rPr>
  </w:style>
  <w:style w:type="character" w:customStyle="1" w:styleId="MenuOptions">
    <w:name w:val="Menu Options"/>
    <w:basedOn w:val="DefaultParagraphFont"/>
    <w:rsid w:val="00DA3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3F4"/>
    <w:rPr>
      <w:b/>
    </w:rPr>
  </w:style>
  <w:style w:type="character" w:customStyle="1" w:styleId="Underlined">
    <w:name w:val="Underlined"/>
    <w:basedOn w:val="DefaultParagraphFont"/>
    <w:rsid w:val="00DA33F4"/>
    <w:rPr>
      <w:u w:val="single"/>
    </w:rPr>
  </w:style>
  <w:style w:type="paragraph" w:customStyle="1" w:styleId="TableBodyTextRight">
    <w:name w:val="Table Body Text Right"/>
    <w:basedOn w:val="TableBodyText"/>
    <w:rsid w:val="00DA3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3F4"/>
    <w:rPr>
      <w:sz w:val="18"/>
    </w:rPr>
  </w:style>
  <w:style w:type="paragraph" w:customStyle="1" w:styleId="BodySmallRight">
    <w:name w:val="Body Small Right"/>
    <w:basedOn w:val="BodyTextRight"/>
    <w:rsid w:val="00DA33F4"/>
    <w:rPr>
      <w:sz w:val="18"/>
      <w:szCs w:val="18"/>
    </w:rPr>
  </w:style>
  <w:style w:type="paragraph" w:customStyle="1" w:styleId="MarginEdition">
    <w:name w:val="Margin Edition"/>
    <w:basedOn w:val="MarginNote"/>
    <w:rsid w:val="00DA3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3F4"/>
    <w:rPr>
      <w:sz w:val="2"/>
      <w:szCs w:val="2"/>
    </w:rPr>
  </w:style>
  <w:style w:type="character" w:customStyle="1" w:styleId="Small">
    <w:name w:val="Small"/>
    <w:basedOn w:val="DefaultParagraphFont"/>
    <w:rsid w:val="00DA33F4"/>
    <w:rPr>
      <w:sz w:val="16"/>
    </w:rPr>
  </w:style>
  <w:style w:type="paragraph" w:customStyle="1" w:styleId="WideTable">
    <w:name w:val="Wide Table"/>
    <w:basedOn w:val="Normal"/>
    <w:rsid w:val="00DA3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3F4"/>
  </w:style>
  <w:style w:type="paragraph" w:styleId="Quote">
    <w:name w:val="Quote"/>
    <w:basedOn w:val="Heading1"/>
    <w:link w:val="QuoteChar"/>
    <w:qFormat/>
    <w:rsid w:val="00DA3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3F4"/>
    <w:pPr>
      <w:pageBreakBefore/>
    </w:pPr>
  </w:style>
  <w:style w:type="paragraph" w:customStyle="1" w:styleId="Border">
    <w:name w:val="Border"/>
    <w:basedOn w:val="Normal"/>
    <w:qFormat/>
    <w:rsid w:val="00DA3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3F4"/>
    <w:rPr>
      <w:u w:val="single"/>
    </w:rPr>
  </w:style>
  <w:style w:type="character" w:customStyle="1" w:styleId="BoldandItalics">
    <w:name w:val="Bold and Italics"/>
    <w:qFormat/>
    <w:rsid w:val="00DA33F4"/>
    <w:rPr>
      <w:b/>
      <w:i/>
      <w:u w:val="none"/>
    </w:rPr>
  </w:style>
  <w:style w:type="paragraph" w:styleId="BalloonText">
    <w:name w:val="Balloon Text"/>
    <w:basedOn w:val="Normal"/>
    <w:link w:val="BalloonTextChar"/>
    <w:rsid w:val="00DA3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3F4"/>
    <w:pPr>
      <w:spacing w:before="0" w:after="0"/>
    </w:pPr>
  </w:style>
  <w:style w:type="paragraph" w:customStyle="1" w:styleId="BodyTextBold">
    <w:name w:val="Body Text Bold"/>
    <w:basedOn w:val="BodyText"/>
    <w:qFormat/>
    <w:rsid w:val="00DA33F4"/>
    <w:rPr>
      <w:b/>
    </w:rPr>
  </w:style>
  <w:style w:type="character" w:styleId="Hyperlink">
    <w:name w:val="Hyperlink"/>
    <w:basedOn w:val="DefaultParagraphFont"/>
    <w:uiPriority w:val="99"/>
    <w:unhideWhenUsed/>
    <w:rsid w:val="002A0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2729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CHCPRT026 Support the rights and safety of children and young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2023-07-01T03:24:00Z</dcterms:created>
  <dcterms:modified xsi:type="dcterms:W3CDTF">2023-07-01T03:24:00Z</dcterms:modified>
</cp:coreProperties>
</file>