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C9F" w:rsidP="008B7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CHCPRT014 Interact with the legal system to protect children</w:t>
      </w:r>
      <w:r>
        <w:fldChar w:fldCharType="end"/>
      </w:r>
    </w:p>
    <w:p w:rsidR="008B7C9F" w:rsidP="008B7C9F">
      <w:pPr>
        <w:pStyle w:val="Version"/>
        <w:sectPr w:rsidSect="00EC5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6C1" w:rsidP="00EC56C1">
      <w:pPr>
        <w:pStyle w:val="SuperHeading"/>
      </w:pPr>
      <w:r w:rsidRPr="00EC56C1">
        <w:t>CHCPRT014 Interact with the legal system to protect children</w:t>
      </w:r>
    </w:p>
    <w:p w:rsidR="00000000" w:rsidRPr="00EC56C1" w:rsidP="00EC56C1">
      <w:pPr>
        <w:pStyle w:val="Heading1"/>
      </w:pPr>
      <w:bookmarkStart w:id="1" w:name="O_739873"/>
      <w:bookmarkEnd w:id="1"/>
      <w:r w:rsidRPr="00EC5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rPr>
                <w:rStyle w:val="SpecialBold"/>
              </w:rPr>
              <w:t>Comments</w:t>
            </w:r>
          </w:p>
        </w:tc>
      </w:tr>
      <w:tr w:rsidTr="00E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t>Updated:</w:t>
            </w:r>
          </w:p>
          <w:p w:rsidR="00000000" w:rsidRPr="00EC56C1" w:rsidP="00EC56C1">
            <w:pPr>
              <w:pStyle w:val="ListBullet"/>
            </w:pPr>
            <w:r w:rsidRPr="00EC56C1">
              <w:t>assessor requirements statement</w:t>
            </w:r>
          </w:p>
          <w:p w:rsidR="00000000" w:rsidRPr="00EC56C1" w:rsidP="00EC56C1">
            <w:pPr>
              <w:pStyle w:val="ListBullet"/>
            </w:pPr>
            <w:r w:rsidRPr="00EC56C1">
              <w:t>foundation skills lead in statement</w:t>
            </w:r>
          </w:p>
          <w:p w:rsidR="00000000" w:rsidRPr="00EC56C1" w:rsidP="00EC56C1">
            <w:pPr>
              <w:pStyle w:val="ListBullet"/>
            </w:pPr>
            <w:r w:rsidRPr="00EC56C1">
              <w:t>licensing statement</w:t>
            </w:r>
          </w:p>
          <w:p w:rsidR="00000000" w:rsidRPr="00EC56C1" w:rsidP="00EC56C1">
            <w:pPr>
              <w:pStyle w:val="ListBullet"/>
            </w:pPr>
            <w:r w:rsidRPr="00EC56C1">
              <w:t>modification history to reflect 2012 standards</w:t>
            </w:r>
          </w:p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Equivalent outcome.</w:t>
            </w:r>
          </w:p>
        </w:tc>
      </w:tr>
      <w:tr w:rsidTr="00E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t xml:space="preserve">This version was released in </w:t>
            </w:r>
            <w:r w:rsidRPr="00EC56C1">
              <w:rPr>
                <w:rStyle w:val="Emphasis"/>
              </w:rPr>
              <w:t>CHC Community Services Training Package release 1.0</w:t>
            </w:r>
            <w:r w:rsidRPr="00EC56C1">
              <w:t xml:space="preserve"> and meets the requirements of the 2012 Standards for Training Packages.</w:t>
            </w:r>
          </w:p>
          <w:p w:rsidR="00000000" w:rsidRPr="00EC56C1" w:rsidP="00EC56C1">
            <w:pPr>
              <w:pStyle w:val="BodyText"/>
            </w:pPr>
            <w:r w:rsidRPr="00EC56C1">
              <w:t xml:space="preserve">Changes to elements and performance criteria. </w:t>
            </w:r>
          </w:p>
          <w:p w:rsidR="00000000" w:rsidRPr="00EC56C1" w:rsidP="00EC56C1">
            <w:pPr>
              <w:pStyle w:val="BodyText"/>
            </w:pPr>
            <w:r w:rsidRPr="00EC56C1">
              <w:t>New evidence requirements for assessment.</w:t>
            </w:r>
          </w:p>
        </w:tc>
      </w:tr>
    </w:tbl>
    <w:p w:rsidR="008B7C9F" w:rsidP="00EC56C1">
      <w:pPr>
        <w:pStyle w:val="BodyText"/>
      </w:pPr>
    </w:p>
    <w:p w:rsidR="008B7C9F" w:rsidP="00EC56C1">
      <w:pPr>
        <w:pStyle w:val="BodyText"/>
      </w:pPr>
    </w:p>
    <w:p w:rsidR="00000000" w:rsidRPr="00EC56C1" w:rsidP="00EC56C1">
      <w:pPr>
        <w:pStyle w:val="Heading1"/>
      </w:pPr>
      <w:bookmarkStart w:id="2" w:name="O_739872"/>
      <w:bookmarkEnd w:id="2"/>
      <w:r w:rsidRPr="00EC56C1">
        <w:t>Application</w:t>
      </w:r>
    </w:p>
    <w:p w:rsidR="00000000" w:rsidRPr="00EC56C1" w:rsidP="008B7C9F">
      <w:pPr>
        <w:pStyle w:val="BodyText"/>
      </w:pPr>
      <w:r w:rsidRPr="00EC56C1">
        <w:t xml:space="preserve">This unit describes the skills and knowledge required to protect children and to assist children and their families to negotiate the legal system. </w:t>
      </w:r>
    </w:p>
    <w:p w:rsidR="00000000" w:rsidRPr="00EC56C1" w:rsidP="008B7C9F">
      <w:pPr>
        <w:pStyle w:val="BodyText"/>
      </w:pPr>
      <w:r w:rsidRPr="00EC56C1">
        <w:t>This unit applies to a range of child protection work where it is necessary to understand</w:t>
      </w:r>
      <w:r w:rsidRPr="00EC56C1">
        <w:t xml:space="preserve"> the differing roles and responsibilities of key legal bodies in the child protection context.</w:t>
      </w:r>
    </w:p>
    <w:p w:rsidR="008B7C9F" w:rsidRPr="008B7C9F" w:rsidP="008B7C9F">
      <w:pPr>
        <w:pStyle w:val="BodyText"/>
        <w:rPr>
          <w:i/>
        </w:rPr>
      </w:pPr>
      <w:r w:rsidRPr="008B7C9F">
        <w:rPr>
          <w:rStyle w:val="Emphasis"/>
        </w:rPr>
        <w:t xml:space="preserve">The skills in this unit must be applied in accordance with Commonwealth and State/Territory legislation, Australian/New Zealand standards and industry codes of </w:t>
      </w:r>
      <w:r w:rsidRPr="008B7C9F">
        <w:rPr>
          <w:rStyle w:val="Emphasis"/>
        </w:rPr>
        <w:t>practice</w:t>
      </w:r>
      <w:r w:rsidRPr="008B7C9F">
        <w:rPr>
          <w:i/>
        </w:rPr>
        <w:t>.</w:t>
      </w:r>
    </w:p>
    <w:p w:rsidR="00000000" w:rsidRPr="00EC56C1" w:rsidP="00EC56C1">
      <w:pPr>
        <w:pStyle w:val="Heading1"/>
      </w:pPr>
      <w:bookmarkStart w:id="3" w:name="O_739871"/>
      <w:bookmarkEnd w:id="3"/>
      <w:r w:rsidRPr="00EC56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rPr>
                <w:rStyle w:val="SpecialBold"/>
              </w:rPr>
              <w:t>PERFORMANCE CRITERIA</w:t>
            </w:r>
          </w:p>
        </w:tc>
      </w:tr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 xml:space="preserve">1. Recognise the roles and </w:t>
            </w:r>
            <w:r w:rsidRPr="00EC56C1">
              <w:t>responsibilities of key legal agencies in child protection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t>1.1</w:t>
            </w:r>
            <w:r w:rsidRPr="00EC56C1">
              <w:tab/>
              <w:t xml:space="preserve">Identify roles and functions of key legal bodies in child </w:t>
            </w:r>
            <w:r w:rsidRPr="00EC56C1">
              <w:t>protection</w:t>
            </w:r>
          </w:p>
          <w:p w:rsidR="00000000" w:rsidRPr="00EC56C1" w:rsidP="00EC56C1">
            <w:pPr>
              <w:pStyle w:val="BodyText"/>
            </w:pPr>
            <w:r w:rsidRPr="00EC56C1">
              <w:t>1.2</w:t>
            </w:r>
            <w:r w:rsidRPr="00EC56C1">
              <w:tab/>
              <w:t>Identify powers, orders and processes relating to key legal bodies</w:t>
            </w:r>
          </w:p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1.3</w:t>
            </w:r>
            <w:r w:rsidRPr="00EC56C1">
              <w:tab/>
              <w:t>Analyse issues for chi</w:t>
            </w:r>
            <w:r w:rsidRPr="00EC56C1">
              <w:t>ldren involved with the legal system</w:t>
            </w:r>
          </w:p>
        </w:tc>
      </w:tr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</w:p>
        </w:tc>
      </w:tr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2. Analyse and evaluate the legal options available to protect children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t>2.1</w:t>
            </w:r>
            <w:r w:rsidRPr="00EC56C1">
              <w:tab/>
              <w:t>Assess and evaluate the risks and benefits of each legal option according to the needs of the individual child and family</w:t>
            </w:r>
          </w:p>
          <w:p w:rsidR="00000000" w:rsidRPr="00EC56C1" w:rsidP="00EC56C1">
            <w:pPr>
              <w:pStyle w:val="BodyText"/>
            </w:pPr>
            <w:r w:rsidRPr="00EC56C1">
              <w:t>2.2</w:t>
            </w:r>
            <w:r w:rsidRPr="00EC56C1">
              <w:tab/>
              <w:t xml:space="preserve">Assess legal </w:t>
            </w:r>
            <w:r w:rsidRPr="00EC56C1">
              <w:t>options in consultation with other agencies according to organisation policies and relevant interagency guidelines where necessary</w:t>
            </w:r>
          </w:p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2.3</w:t>
            </w:r>
            <w:r w:rsidRPr="00EC56C1">
              <w:tab/>
              <w:t>Identify most appropriate option to meet child’s and family’s needs</w:t>
            </w:r>
          </w:p>
        </w:tc>
      </w:tr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</w:p>
        </w:tc>
      </w:tr>
      <w:tr w:rsidTr="008B7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t>3. Liaise with key agencies to ensure children are supported to negotiate the legal system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t>3.1</w:t>
            </w:r>
            <w:r w:rsidRPr="00EC56C1">
              <w:tab/>
              <w:t>Identify most appropriate support agencies and associated referral process for children involved in the legal system</w:t>
            </w:r>
          </w:p>
          <w:p w:rsidR="00000000" w:rsidRPr="00EC56C1" w:rsidP="00EC56C1">
            <w:pPr>
              <w:pStyle w:val="BodyText"/>
            </w:pPr>
            <w:r w:rsidRPr="00EC56C1">
              <w:t>3.2</w:t>
            </w:r>
            <w:r w:rsidRPr="00EC56C1">
              <w:tab/>
              <w:t>Liaise with support agencies in consulta</w:t>
            </w:r>
            <w:r w:rsidRPr="00EC56C1">
              <w:t>tion with child, family and other key agencies</w:t>
            </w:r>
          </w:p>
          <w:p w:rsidR="00000000" w:rsidRPr="00EC56C1" w:rsidP="00EC56C1">
            <w:pPr>
              <w:pStyle w:val="BodyText"/>
            </w:pPr>
            <w:r w:rsidRPr="00EC56C1">
              <w:t>3.3</w:t>
            </w:r>
            <w:r w:rsidRPr="00EC56C1">
              <w:tab/>
              <w:t>Consult with and inform child and family of other available support systems as required</w:t>
            </w:r>
          </w:p>
        </w:tc>
      </w:tr>
    </w:tbl>
    <w:p w:rsidR="00000000" w:rsidRPr="00EC56C1" w:rsidP="00EC56C1">
      <w:pPr>
        <w:pStyle w:val="BodyText"/>
      </w:pPr>
    </w:p>
    <w:p w:rsidR="00000000" w:rsidRPr="00EC56C1" w:rsidP="00EC56C1">
      <w:pPr>
        <w:pStyle w:val="AllowPageBreak"/>
      </w:pPr>
    </w:p>
    <w:p w:rsidR="00000000" w:rsidRPr="00EC56C1" w:rsidP="00EC56C1">
      <w:pPr>
        <w:pStyle w:val="Heading1"/>
      </w:pPr>
      <w:bookmarkStart w:id="4" w:name="O_739870"/>
      <w:bookmarkEnd w:id="4"/>
      <w:r w:rsidRPr="00EC56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6C1">
            <w:pPr>
              <w:pStyle w:val="BodyText"/>
              <w:rPr>
                <w:lang w:val="en-NZ"/>
              </w:rPr>
            </w:pPr>
            <w:r w:rsidRPr="00EC56C1">
              <w:rPr>
                <w:rStyle w:val="Emphasis"/>
              </w:rPr>
              <w:t>The Foundation Skills describe those required skills (language, literacy, numera</w:t>
            </w:r>
            <w:r w:rsidRPr="00EC56C1">
              <w:rPr>
                <w:rStyle w:val="Emphasis"/>
              </w:rPr>
              <w:t>cy and employment skills) that are essential to performance.</w:t>
            </w:r>
          </w:p>
        </w:tc>
      </w:tr>
      <w:tr w:rsidTr="00E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6C1" w:rsidP="00EC56C1">
            <w:pPr>
              <w:pStyle w:val="BodyText"/>
            </w:pPr>
            <w:r w:rsidRPr="00EC56C1">
              <w:t>Foundation skills essential to performance are explicit in the performance criteria of this unit of competency.</w:t>
            </w:r>
          </w:p>
        </w:tc>
      </w:tr>
    </w:tbl>
    <w:p w:rsidR="00000000" w:rsidRPr="00EC56C1" w:rsidP="00EC56C1">
      <w:pPr>
        <w:pStyle w:val="BodyText"/>
      </w:pPr>
    </w:p>
    <w:p w:rsidR="00000000" w:rsidRPr="00EC56C1" w:rsidP="00EC56C1">
      <w:pPr>
        <w:pStyle w:val="AllowPageBreak"/>
      </w:pPr>
    </w:p>
    <w:p w:rsidR="00000000" w:rsidRPr="00EC56C1" w:rsidP="00EC56C1">
      <w:pPr>
        <w:pStyle w:val="Heading1"/>
      </w:pPr>
      <w:bookmarkStart w:id="5" w:name="O_739869"/>
      <w:bookmarkEnd w:id="5"/>
      <w:r w:rsidRPr="00EC56C1">
        <w:t>Unit Mapping Information</w:t>
      </w:r>
    </w:p>
    <w:p w:rsidR="00000000" w:rsidRPr="00EC56C1" w:rsidP="008B7C9F">
      <w:pPr>
        <w:pStyle w:val="BodyText"/>
      </w:pPr>
      <w:r w:rsidRPr="00EC56C1">
        <w:t>No equivalent unit.</w:t>
      </w:r>
    </w:p>
    <w:p w:rsidR="00000000" w:rsidRPr="00EC56C1" w:rsidP="00EC56C1">
      <w:pPr>
        <w:pStyle w:val="Heading1"/>
      </w:pPr>
      <w:bookmarkStart w:id="6" w:name="O_739874"/>
      <w:bookmarkEnd w:id="6"/>
      <w:r w:rsidRPr="00EC56C1">
        <w:t>Links</w:t>
      </w:r>
    </w:p>
    <w:p w:rsidR="00000000" w:rsidRPr="00EC56C1" w:rsidP="008B7C9F">
      <w:pPr>
        <w:pStyle w:val="BodyText"/>
      </w:pPr>
      <w:r w:rsidRPr="00EC5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D73F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56C1" w:rsidP="00EC56C1"/>
    <w:sectPr w:rsidSect="00EC5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C1" w:rsidRPr="008B7C9F" w:rsidP="008B7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9F" w:rsidP="00EC5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C9F" w:rsidP="00EC5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7C9F" w:rsidP="00EC5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6C1" w:rsidRPr="008B7C9F" w:rsidP="008B7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9F" w:rsidRPr="002D2AF8" w:rsidP="00EC5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CHCPRT014 Interact with the legal system to protect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8B7C9F" w:rsidP="00EC5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3A3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C29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6C1"/>
  </w:style>
  <w:style w:type="character" w:customStyle="1" w:styleId="Heading1Char">
    <w:name w:val="Heading 1 Char"/>
    <w:basedOn w:val="DefaultParagraphFont"/>
    <w:link w:val="Heading1"/>
    <w:rsid w:val="00EC5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6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6C1"/>
    <w:rPr>
      <w:b/>
      <w:spacing w:val="0"/>
    </w:rPr>
  </w:style>
  <w:style w:type="character" w:styleId="Emphasis">
    <w:name w:val="Emphasis"/>
    <w:basedOn w:val="DefaultParagraphFont"/>
    <w:qFormat/>
    <w:rsid w:val="00EC56C1"/>
    <w:rPr>
      <w:i/>
    </w:rPr>
  </w:style>
  <w:style w:type="paragraph" w:customStyle="1" w:styleId="SuperHeading">
    <w:name w:val="SuperHeading"/>
    <w:basedOn w:val="Normal"/>
    <w:rsid w:val="00EC5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6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6C1"/>
  </w:style>
  <w:style w:type="paragraph" w:styleId="TableofFigures">
    <w:name w:val="table of figures"/>
    <w:basedOn w:val="Normal"/>
    <w:next w:val="Normal"/>
    <w:semiHidden/>
    <w:rsid w:val="00EC5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6C1"/>
    <w:rPr>
      <w:rFonts w:ascii="Wingdings" w:hAnsi="Wingdings"/>
    </w:rPr>
  </w:style>
  <w:style w:type="paragraph" w:customStyle="1" w:styleId="TableHeading">
    <w:name w:val="Table Heading"/>
    <w:basedOn w:val="HeadingBase"/>
    <w:rsid w:val="00EC5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6C1"/>
    <w:rPr>
      <w:color w:val="0033CC"/>
      <w:u w:val="none"/>
    </w:rPr>
  </w:style>
  <w:style w:type="paragraph" w:customStyle="1" w:styleId="BodyTextRight">
    <w:name w:val="Body Text Right"/>
    <w:basedOn w:val="BodyText"/>
    <w:rsid w:val="00EC5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6C1"/>
    <w:rPr>
      <w:sz w:val="32"/>
    </w:rPr>
  </w:style>
  <w:style w:type="paragraph" w:customStyle="1" w:styleId="HeadingProcedure">
    <w:name w:val="Heading Procedure"/>
    <w:basedOn w:val="HeadingBase"/>
    <w:next w:val="Normal"/>
    <w:rsid w:val="00EC5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6C1"/>
    <w:pPr>
      <w:spacing w:before="60" w:after="60"/>
    </w:pPr>
  </w:style>
  <w:style w:type="paragraph" w:styleId="ListContinue">
    <w:name w:val="List Continue"/>
    <w:basedOn w:val="List"/>
    <w:rsid w:val="00EC56C1"/>
    <w:pPr>
      <w:ind w:firstLine="0"/>
    </w:pPr>
  </w:style>
  <w:style w:type="paragraph" w:customStyle="1" w:styleId="ListNote">
    <w:name w:val="List Note"/>
    <w:basedOn w:val="List"/>
    <w:rsid w:val="00EC5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6C1"/>
    <w:rPr>
      <w:rFonts w:ascii="Courier New" w:hAnsi="Courier New"/>
    </w:rPr>
  </w:style>
  <w:style w:type="paragraph" w:customStyle="1" w:styleId="NoteBullet">
    <w:name w:val="Note Bullet"/>
    <w:basedOn w:val="Note"/>
    <w:rsid w:val="00EC5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6C1"/>
    <w:rPr>
      <w:b/>
      <w:smallCaps/>
    </w:rPr>
  </w:style>
  <w:style w:type="paragraph" w:customStyle="1" w:styleId="TableListNumber">
    <w:name w:val="Table List Number"/>
    <w:basedOn w:val="ListNumber"/>
    <w:rsid w:val="00EC5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6C1"/>
    <w:pPr>
      <w:numPr>
        <w:numId w:val="8"/>
      </w:numPr>
    </w:pPr>
  </w:style>
  <w:style w:type="paragraph" w:customStyle="1" w:styleId="ListAlpha2">
    <w:name w:val="List Alpha 2"/>
    <w:basedOn w:val="List2"/>
    <w:rsid w:val="00EC56C1"/>
    <w:pPr>
      <w:numPr>
        <w:numId w:val="7"/>
      </w:numPr>
    </w:pPr>
  </w:style>
  <w:style w:type="paragraph" w:styleId="List2">
    <w:name w:val="List 2"/>
    <w:basedOn w:val="BodyText"/>
    <w:rsid w:val="00EC5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6C1"/>
    <w:pPr>
      <w:numPr>
        <w:numId w:val="3"/>
      </w:numPr>
    </w:pPr>
  </w:style>
  <w:style w:type="paragraph" w:styleId="ListContinue2">
    <w:name w:val="List Continue 2"/>
    <w:basedOn w:val="List2"/>
    <w:rsid w:val="00EC56C1"/>
    <w:pPr>
      <w:ind w:firstLine="0"/>
    </w:pPr>
  </w:style>
  <w:style w:type="paragraph" w:styleId="ListContinue3">
    <w:name w:val="List Continue 3"/>
    <w:basedOn w:val="List3"/>
    <w:rsid w:val="00EC56C1"/>
    <w:pPr>
      <w:ind w:left="1021" w:firstLine="0"/>
    </w:pPr>
  </w:style>
  <w:style w:type="paragraph" w:styleId="ListContinue4">
    <w:name w:val="List Continue 4"/>
    <w:basedOn w:val="List4"/>
    <w:rsid w:val="00EC56C1"/>
    <w:pPr>
      <w:ind w:firstLine="0"/>
    </w:pPr>
  </w:style>
  <w:style w:type="paragraph" w:styleId="ListContinue5">
    <w:name w:val="List Continue 5"/>
    <w:basedOn w:val="List5"/>
    <w:rsid w:val="00EC56C1"/>
    <w:pPr>
      <w:ind w:firstLine="0"/>
    </w:pPr>
  </w:style>
  <w:style w:type="paragraph" w:styleId="ListNumber3">
    <w:name w:val="List Number 3"/>
    <w:basedOn w:val="List3"/>
    <w:rsid w:val="00EC56C1"/>
    <w:pPr>
      <w:numPr>
        <w:numId w:val="4"/>
      </w:numPr>
    </w:pPr>
  </w:style>
  <w:style w:type="paragraph" w:styleId="ListNumber4">
    <w:name w:val="List Number 4"/>
    <w:basedOn w:val="List4"/>
    <w:rsid w:val="00EC56C1"/>
    <w:pPr>
      <w:numPr>
        <w:numId w:val="5"/>
      </w:numPr>
    </w:pPr>
  </w:style>
  <w:style w:type="paragraph" w:styleId="ListNumber5">
    <w:name w:val="List Number 5"/>
    <w:basedOn w:val="List5"/>
    <w:rsid w:val="00EC56C1"/>
    <w:pPr>
      <w:numPr>
        <w:numId w:val="6"/>
      </w:numPr>
    </w:pPr>
  </w:style>
  <w:style w:type="paragraph" w:styleId="BlockText">
    <w:name w:val="Block Text"/>
    <w:basedOn w:val="Normal"/>
    <w:rsid w:val="00EC5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6C1"/>
    <w:rPr>
      <w:sz w:val="16"/>
      <w:vertAlign w:val="superscript"/>
    </w:rPr>
  </w:style>
  <w:style w:type="character" w:customStyle="1" w:styleId="Symbols">
    <w:name w:val="Symbols"/>
    <w:basedOn w:val="DefaultParagraphFont"/>
    <w:rsid w:val="00EC56C1"/>
    <w:rPr>
      <w:rFonts w:ascii="Symbol" w:hAnsi="Symbol"/>
    </w:rPr>
  </w:style>
  <w:style w:type="character" w:customStyle="1" w:styleId="MenuOptions">
    <w:name w:val="Menu Options"/>
    <w:basedOn w:val="DefaultParagraphFont"/>
    <w:rsid w:val="00EC5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6C1"/>
    <w:rPr>
      <w:b/>
    </w:rPr>
  </w:style>
  <w:style w:type="character" w:customStyle="1" w:styleId="Underlined">
    <w:name w:val="Underlined"/>
    <w:basedOn w:val="DefaultParagraphFont"/>
    <w:rsid w:val="00EC56C1"/>
    <w:rPr>
      <w:u w:val="single"/>
    </w:rPr>
  </w:style>
  <w:style w:type="paragraph" w:customStyle="1" w:styleId="TableBodyTextRight">
    <w:name w:val="Table Body Text Right"/>
    <w:basedOn w:val="TableBodyText"/>
    <w:rsid w:val="00EC5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6C1"/>
    <w:rPr>
      <w:sz w:val="18"/>
    </w:rPr>
  </w:style>
  <w:style w:type="paragraph" w:customStyle="1" w:styleId="BodySmallRight">
    <w:name w:val="Body Small Right"/>
    <w:basedOn w:val="BodyTextRight"/>
    <w:rsid w:val="00EC56C1"/>
    <w:rPr>
      <w:sz w:val="18"/>
      <w:szCs w:val="18"/>
    </w:rPr>
  </w:style>
  <w:style w:type="paragraph" w:customStyle="1" w:styleId="MarginEdition">
    <w:name w:val="Margin Edition"/>
    <w:basedOn w:val="MarginNote"/>
    <w:rsid w:val="00EC5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6C1"/>
    <w:rPr>
      <w:sz w:val="2"/>
      <w:szCs w:val="2"/>
    </w:rPr>
  </w:style>
  <w:style w:type="character" w:customStyle="1" w:styleId="Small">
    <w:name w:val="Small"/>
    <w:basedOn w:val="DefaultParagraphFont"/>
    <w:rsid w:val="00EC56C1"/>
    <w:rPr>
      <w:sz w:val="16"/>
    </w:rPr>
  </w:style>
  <w:style w:type="paragraph" w:customStyle="1" w:styleId="WideTable">
    <w:name w:val="Wide Table"/>
    <w:basedOn w:val="Normal"/>
    <w:rsid w:val="00EC5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6C1"/>
  </w:style>
  <w:style w:type="paragraph" w:styleId="Quote">
    <w:name w:val="Quote"/>
    <w:basedOn w:val="Heading1"/>
    <w:link w:val="QuoteChar"/>
    <w:qFormat/>
    <w:rsid w:val="00EC5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6C1"/>
    <w:pPr>
      <w:pageBreakBefore/>
    </w:pPr>
  </w:style>
  <w:style w:type="paragraph" w:customStyle="1" w:styleId="Border">
    <w:name w:val="Border"/>
    <w:basedOn w:val="Normal"/>
    <w:qFormat/>
    <w:rsid w:val="00EC5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6C1"/>
    <w:rPr>
      <w:u w:val="single"/>
    </w:rPr>
  </w:style>
  <w:style w:type="character" w:customStyle="1" w:styleId="BoldandItalics">
    <w:name w:val="Bold and Italics"/>
    <w:qFormat/>
    <w:rsid w:val="00EC56C1"/>
    <w:rPr>
      <w:b/>
      <w:i/>
      <w:u w:val="none"/>
    </w:rPr>
  </w:style>
  <w:style w:type="paragraph" w:styleId="BalloonText">
    <w:name w:val="Balloon Text"/>
    <w:basedOn w:val="Normal"/>
    <w:link w:val="BalloonTextChar"/>
    <w:rsid w:val="00EC5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6C1"/>
    <w:pPr>
      <w:spacing w:before="0" w:after="0"/>
    </w:pPr>
  </w:style>
  <w:style w:type="paragraph" w:customStyle="1" w:styleId="BodyTextBold">
    <w:name w:val="Body Text Bold"/>
    <w:basedOn w:val="BodyText"/>
    <w:qFormat/>
    <w:rsid w:val="00EC56C1"/>
    <w:rPr>
      <w:b/>
    </w:rPr>
  </w:style>
  <w:style w:type="character" w:styleId="Hyperlink">
    <w:name w:val="Hyperlink"/>
    <w:basedOn w:val="DefaultParagraphFont"/>
    <w:uiPriority w:val="99"/>
    <w:unhideWhenUsed/>
    <w:rsid w:val="008B7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2652</Characters>
  <Application>Microsoft Office Word</Application>
  <DocSecurity>0</DocSecurity>
  <Lines>98</Lines>
  <Paragraphs>55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CHCPRT014 Interact with the legal system to protect children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2022-12-01T02:00:00Z</dcterms:created>
  <dcterms:modified xsi:type="dcterms:W3CDTF">2022-12-01T02:00:00Z</dcterms:modified>
</cp:coreProperties>
</file>