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712" w:rsidP="00EE3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CHCPOL003 Research and apply evidence to practice</w:t>
      </w:r>
      <w:r>
        <w:fldChar w:fldCharType="end"/>
      </w:r>
    </w:p>
    <w:p w:rsidR="00EE3712" w:rsidP="00EE3712">
      <w:pPr>
        <w:pStyle w:val="Version"/>
        <w:sectPr w:rsidSect="00037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74BC" w:rsidP="000374BC">
      <w:pPr>
        <w:pStyle w:val="SuperHeading"/>
      </w:pPr>
      <w:r w:rsidRPr="000374BC">
        <w:t>Assessment Requirements for CHCPOL003 Research and apply evidence to practice</w:t>
      </w:r>
    </w:p>
    <w:p w:rsidR="00000000" w:rsidRPr="000374BC" w:rsidP="000374BC">
      <w:pPr>
        <w:pStyle w:val="Heading1"/>
      </w:pPr>
      <w:bookmarkStart w:id="1" w:name="O_852794"/>
      <w:bookmarkEnd w:id="1"/>
      <w:r w:rsidRPr="000374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3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4BC" w:rsidP="000374BC">
            <w:pPr>
              <w:pStyle w:val="BodyText"/>
            </w:pPr>
            <w:r w:rsidRPr="000374B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4BC">
            <w:pPr>
              <w:pStyle w:val="BodyText"/>
              <w:rPr>
                <w:lang w:val="en-NZ"/>
              </w:rPr>
            </w:pPr>
            <w:r w:rsidRPr="000374BC">
              <w:rPr>
                <w:rStyle w:val="SpecialBold"/>
              </w:rPr>
              <w:t>Comments</w:t>
            </w:r>
          </w:p>
        </w:tc>
      </w:tr>
      <w:tr w:rsidTr="0003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4BC">
            <w:pPr>
              <w:pStyle w:val="BodyText"/>
              <w:rPr>
                <w:lang w:val="en-NZ"/>
              </w:rPr>
            </w:pPr>
            <w:r w:rsidRPr="000374BC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4BC" w:rsidP="000374BC">
            <w:pPr>
              <w:pStyle w:val="BodyText"/>
            </w:pPr>
            <w:r w:rsidRPr="000374BC">
              <w:t xml:space="preserve">This version was released in </w:t>
            </w:r>
            <w:r w:rsidRPr="000374BC">
              <w:rPr>
                <w:rStyle w:val="Emphasis"/>
              </w:rPr>
              <w:t>CHC Community Services Training Package release 3.0</w:t>
            </w:r>
            <w:r w:rsidRPr="000374BC">
              <w:t>.</w:t>
            </w:r>
          </w:p>
          <w:p w:rsidR="00000000" w:rsidP="000374BC">
            <w:pPr>
              <w:pStyle w:val="BodyText"/>
              <w:rPr>
                <w:lang w:val="en-NZ"/>
              </w:rPr>
            </w:pPr>
            <w:r w:rsidRPr="000374BC">
              <w:t>Amended modification history and mapping. Equivalent outcome.</w:t>
            </w:r>
          </w:p>
        </w:tc>
      </w:tr>
      <w:tr w:rsidTr="00037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4BC">
            <w:pPr>
              <w:pStyle w:val="BodyText"/>
              <w:rPr>
                <w:lang w:val="en-NZ"/>
              </w:rPr>
            </w:pPr>
            <w:r w:rsidRPr="000374B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4BC" w:rsidP="000374BC">
            <w:pPr>
              <w:pStyle w:val="BodyText"/>
            </w:pPr>
            <w:r w:rsidRPr="000374BC">
              <w:t xml:space="preserve">This version was released in </w:t>
            </w:r>
            <w:r w:rsidRPr="000374BC">
              <w:rPr>
                <w:rStyle w:val="Emphasis"/>
              </w:rPr>
              <w:t>CHC Community Services Training Package release 2.0</w:t>
            </w:r>
            <w:r w:rsidRPr="000374BC">
              <w:t xml:space="preserve"> and meets the requirements of the 2012 Standards for Training Packages.</w:t>
            </w:r>
          </w:p>
          <w:p w:rsidR="00000000" w:rsidRPr="000374BC" w:rsidP="000374BC">
            <w:pPr>
              <w:pStyle w:val="BodyText"/>
            </w:pPr>
            <w:r w:rsidRPr="000374BC">
              <w:t>Significant changes to the ele</w:t>
            </w:r>
            <w:r w:rsidRPr="000374BC">
              <w:t>ments and performance criteria. New evidence requirements for assessment, including volume and frequency. Significant change to knowledge evidence.</w:t>
            </w:r>
          </w:p>
        </w:tc>
      </w:tr>
    </w:tbl>
    <w:p w:rsidR="00000000" w:rsidRPr="000374BC" w:rsidP="000374BC">
      <w:pPr>
        <w:pStyle w:val="BodyText"/>
      </w:pPr>
    </w:p>
    <w:p w:rsidR="00000000" w:rsidRPr="000374BC" w:rsidP="000374BC">
      <w:pPr>
        <w:pStyle w:val="AllowPageBreak"/>
      </w:pPr>
    </w:p>
    <w:p w:rsidR="00000000" w:rsidRPr="000374BC" w:rsidP="000374BC">
      <w:pPr>
        <w:pStyle w:val="Heading1"/>
      </w:pPr>
      <w:bookmarkStart w:id="2" w:name="O_852793"/>
      <w:bookmarkEnd w:id="2"/>
      <w:r w:rsidRPr="000374BC">
        <w:t>Performance Evidence</w:t>
      </w:r>
    </w:p>
    <w:p w:rsidR="00000000" w:rsidRPr="000374BC" w:rsidP="00EE3712">
      <w:pPr>
        <w:pStyle w:val="BodyText"/>
      </w:pPr>
      <w:r w:rsidRPr="000374BC">
        <w:t>The candidate must show evidence of the ability to complete tasks ou</w:t>
      </w:r>
      <w:r w:rsidRPr="000374BC">
        <w:t>tlined in elements and performance criteria of this unit, manage tasks and manage contingencies in the context of the job role. There must be evidence that the candidate has:</w:t>
      </w:r>
    </w:p>
    <w:p w:rsidR="00000000" w:rsidRPr="000374BC" w:rsidP="000374BC">
      <w:pPr>
        <w:pStyle w:val="ListBullet"/>
      </w:pPr>
      <w:r w:rsidRPr="000374BC">
        <w:t>completed research activities and developed actions based on research outcomes f</w:t>
      </w:r>
      <w:r w:rsidRPr="000374BC">
        <w:t xml:space="preserve">or at least 2 different issues within own field of practice </w:t>
      </w:r>
    </w:p>
    <w:p w:rsidR="00000000" w:rsidRPr="000374BC" w:rsidP="000374BC">
      <w:pPr>
        <w:pStyle w:val="AllowPageBreak"/>
      </w:pPr>
    </w:p>
    <w:p w:rsidR="00000000" w:rsidRPr="000374BC" w:rsidP="000374BC">
      <w:pPr>
        <w:pStyle w:val="Heading1"/>
      </w:pPr>
      <w:bookmarkStart w:id="3" w:name="O_852792"/>
      <w:bookmarkEnd w:id="3"/>
      <w:r w:rsidRPr="000374BC">
        <w:t>Knowledge Evidence</w:t>
      </w:r>
    </w:p>
    <w:p w:rsidR="00000000" w:rsidRPr="000374BC" w:rsidP="00EE3712">
      <w:pPr>
        <w:pStyle w:val="BodyText"/>
      </w:pPr>
      <w:r w:rsidRPr="000374BC">
        <w:t xml:space="preserve">The candidate must be able to demonstrate essential knowledge required to effectively complete tasks outlined in elements and performance criteria of </w:t>
      </w:r>
      <w:r w:rsidRPr="000374BC">
        <w:t>this unit, manage tasks and manage contingencies in the context of the work role. This includes knowledge of:</w:t>
      </w:r>
    </w:p>
    <w:p w:rsidR="00000000" w:rsidRPr="000374BC" w:rsidP="000374BC">
      <w:pPr>
        <w:pStyle w:val="ListBullet"/>
      </w:pPr>
      <w:r w:rsidRPr="000374BC">
        <w:t>different reasons for undertaking research:</w:t>
      </w:r>
    </w:p>
    <w:p w:rsidR="00000000" w:rsidRPr="000374BC" w:rsidP="000374BC">
      <w:pPr>
        <w:pStyle w:val="ListBullet2"/>
      </w:pPr>
      <w:r w:rsidRPr="000374BC">
        <w:t>comparison</w:t>
      </w:r>
    </w:p>
    <w:p w:rsidR="00000000" w:rsidRPr="000374BC" w:rsidP="000374BC">
      <w:pPr>
        <w:pStyle w:val="ListBullet2"/>
      </w:pPr>
      <w:r w:rsidRPr="000374BC">
        <w:t>hypothesis testing</w:t>
      </w:r>
    </w:p>
    <w:p w:rsidR="00000000" w:rsidRPr="000374BC" w:rsidP="000374BC">
      <w:pPr>
        <w:pStyle w:val="ListBullet2"/>
      </w:pPr>
      <w:r w:rsidRPr="000374BC">
        <w:t>trend identification</w:t>
      </w:r>
    </w:p>
    <w:p w:rsidR="00000000" w:rsidRPr="000374BC" w:rsidP="000374BC">
      <w:pPr>
        <w:pStyle w:val="ListBullet2"/>
      </w:pPr>
      <w:r w:rsidRPr="000374BC">
        <w:t>own knowledge extension</w:t>
      </w:r>
    </w:p>
    <w:p w:rsidR="00000000" w:rsidRPr="000374BC" w:rsidP="000374BC">
      <w:pPr>
        <w:pStyle w:val="ListBullet2"/>
      </w:pPr>
      <w:r w:rsidRPr="000374BC">
        <w:t>strengthen quality of own</w:t>
      </w:r>
      <w:r w:rsidRPr="000374BC">
        <w:t xml:space="preserve"> practice</w:t>
      </w:r>
    </w:p>
    <w:p w:rsidR="00000000" w:rsidRPr="000374BC" w:rsidP="000374BC">
      <w:pPr>
        <w:pStyle w:val="ListBullet"/>
      </w:pPr>
      <w:r w:rsidRPr="000374BC">
        <w:t>sources of information, including established information sources and current research within own area of practice</w:t>
      </w:r>
    </w:p>
    <w:p w:rsidR="00000000" w:rsidRPr="000374BC" w:rsidP="000374BC">
      <w:pPr>
        <w:pStyle w:val="ListBullet"/>
      </w:pPr>
      <w:r w:rsidRPr="000374BC">
        <w:t>principles and models of evidence-based practice, including:</w:t>
      </w:r>
    </w:p>
    <w:p w:rsidR="00000000" w:rsidRPr="000374BC" w:rsidP="000374BC">
      <w:pPr>
        <w:pStyle w:val="ListBullet2"/>
      </w:pPr>
      <w:r w:rsidRPr="000374BC">
        <w:t>rules of evidence</w:t>
      </w:r>
    </w:p>
    <w:p w:rsidR="00000000" w:rsidRPr="000374BC" w:rsidP="000374BC">
      <w:pPr>
        <w:pStyle w:val="ListBullet2"/>
      </w:pPr>
      <w:r w:rsidRPr="000374BC">
        <w:t>duty of care requirements associated with evidence</w:t>
      </w:r>
      <w:r w:rsidRPr="000374BC">
        <w:t>-based practice</w:t>
      </w:r>
    </w:p>
    <w:p w:rsidR="00000000" w:rsidRPr="000374BC" w:rsidP="000374BC">
      <w:pPr>
        <w:pStyle w:val="ListBullet2"/>
      </w:pPr>
      <w:r w:rsidRPr="000374BC">
        <w:t>differences between evidence-based practice, continuous quality improvement and research</w:t>
      </w:r>
    </w:p>
    <w:p w:rsidR="00000000" w:rsidRPr="000374BC" w:rsidP="000374BC">
      <w:pPr>
        <w:pStyle w:val="ListBullet"/>
      </w:pPr>
      <w:r w:rsidRPr="000374BC">
        <w:t xml:space="preserve">ways to evaluate the validity of information sources </w:t>
      </w:r>
    </w:p>
    <w:p w:rsidR="00000000" w:rsidRPr="000374BC" w:rsidP="000374BC">
      <w:pPr>
        <w:pStyle w:val="ListBullet"/>
      </w:pPr>
      <w:r w:rsidRPr="000374BC">
        <w:t>research processes and how to use them</w:t>
      </w:r>
    </w:p>
    <w:p w:rsidR="00000000" w:rsidRPr="000374BC" w:rsidP="000374BC">
      <w:pPr>
        <w:pStyle w:val="ListBullet"/>
      </w:pPr>
      <w:r w:rsidRPr="000374BC">
        <w:t>cultural and ethical considerations for research</w:t>
      </w:r>
    </w:p>
    <w:p w:rsidR="00000000" w:rsidRPr="000374BC" w:rsidP="000374BC">
      <w:pPr>
        <w:pStyle w:val="ListBullet"/>
      </w:pPr>
      <w:r w:rsidRPr="000374BC">
        <w:t>processes that support analysis of information and how to use them, including:</w:t>
      </w:r>
    </w:p>
    <w:p w:rsidR="00000000" w:rsidRPr="000374BC" w:rsidP="000374BC">
      <w:pPr>
        <w:pStyle w:val="ListBullet2"/>
      </w:pPr>
      <w:r w:rsidRPr="000374BC">
        <w:t xml:space="preserve">comparing </w:t>
      </w:r>
    </w:p>
    <w:p w:rsidR="00000000" w:rsidRPr="000374BC" w:rsidP="000374BC">
      <w:pPr>
        <w:pStyle w:val="ListBullet2"/>
      </w:pPr>
      <w:r w:rsidRPr="000374BC">
        <w:t>contrasting</w:t>
      </w:r>
    </w:p>
    <w:p w:rsidR="00000000" w:rsidRPr="000374BC" w:rsidP="000374BC">
      <w:pPr>
        <w:pStyle w:val="ListBullet2"/>
      </w:pPr>
      <w:r w:rsidRPr="000374BC">
        <w:t>challenging</w:t>
      </w:r>
    </w:p>
    <w:p w:rsidR="00000000" w:rsidRPr="000374BC" w:rsidP="000374BC">
      <w:pPr>
        <w:pStyle w:val="ListBullet2"/>
      </w:pPr>
      <w:r w:rsidRPr="000374BC">
        <w:t>reflecting</w:t>
      </w:r>
    </w:p>
    <w:p w:rsidR="00000000" w:rsidRPr="000374BC" w:rsidP="000374BC">
      <w:pPr>
        <w:pStyle w:val="ListBullet2"/>
      </w:pPr>
      <w:r w:rsidRPr="000374BC">
        <w:t>distinguishing relevant from irrelevant</w:t>
      </w:r>
    </w:p>
    <w:p w:rsidR="00000000" w:rsidRPr="000374BC" w:rsidP="000374BC">
      <w:pPr>
        <w:pStyle w:val="ListBullet2"/>
      </w:pPr>
      <w:r w:rsidRPr="000374BC">
        <w:t>drawing interdisciplinary connections</w:t>
      </w:r>
    </w:p>
    <w:p w:rsidR="00000000" w:rsidRPr="000374BC" w:rsidP="000374BC">
      <w:pPr>
        <w:pStyle w:val="AllowPageBreak"/>
      </w:pPr>
    </w:p>
    <w:p w:rsidR="00000000" w:rsidRPr="000374BC" w:rsidP="000374BC">
      <w:pPr>
        <w:pStyle w:val="Heading1"/>
      </w:pPr>
      <w:bookmarkStart w:id="4" w:name="O_852791"/>
      <w:bookmarkEnd w:id="4"/>
      <w:r w:rsidRPr="000374BC">
        <w:t>Assessment Conditions</w:t>
      </w:r>
    </w:p>
    <w:p w:rsidR="00000000" w:rsidRPr="000374BC" w:rsidP="00EE3712">
      <w:pPr>
        <w:pStyle w:val="BodyText"/>
      </w:pPr>
      <w:r w:rsidRPr="000374BC">
        <w:t>Skills must h</w:t>
      </w:r>
      <w:r w:rsidRPr="000374BC">
        <w:t xml:space="preserve">ave been demonstrated in the workplace or in a simulated environment that reflects workplace conditions. The following conditions must be met for this unit: </w:t>
      </w:r>
    </w:p>
    <w:p w:rsidR="00000000" w:rsidRPr="000374BC" w:rsidP="000374BC">
      <w:pPr>
        <w:pStyle w:val="ListBullet"/>
      </w:pPr>
      <w:r w:rsidRPr="000374BC">
        <w:t>use of suitable facilities, equipment and resources, including current research, evidence-based s</w:t>
      </w:r>
      <w:r w:rsidRPr="000374BC">
        <w:t>tudies and industry intelligence</w:t>
      </w:r>
    </w:p>
    <w:p w:rsidR="00000000" w:rsidRPr="000374BC" w:rsidP="000374BC">
      <w:pPr>
        <w:pStyle w:val="BodyText"/>
      </w:pPr>
    </w:p>
    <w:p w:rsidR="00000000" w:rsidRPr="000374BC" w:rsidP="00EE3712">
      <w:pPr>
        <w:pStyle w:val="BodyText"/>
      </w:pPr>
      <w:r w:rsidRPr="000374BC">
        <w:t>Assessors must satisfy the Standards for Registered Training Organisations (RTOs) 2015/AQTF mandatory competency requirements for assessors.</w:t>
      </w:r>
    </w:p>
    <w:p w:rsidR="00000000" w:rsidRPr="000374BC" w:rsidP="000374BC">
      <w:pPr>
        <w:pStyle w:val="Heading1"/>
      </w:pPr>
      <w:bookmarkStart w:id="5" w:name="O_852802"/>
      <w:bookmarkEnd w:id="5"/>
      <w:r w:rsidRPr="000374BC">
        <w:t>Links</w:t>
      </w:r>
    </w:p>
    <w:p w:rsidR="00000000" w:rsidRPr="000374BC" w:rsidP="00EE3712">
      <w:pPr>
        <w:pStyle w:val="BodyText"/>
      </w:pPr>
      <w:r w:rsidRPr="00037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064D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374BC" w:rsidP="000374BC"/>
    <w:sectPr w:rsidSect="000374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BC" w:rsidRPr="00EE3712" w:rsidP="00EE3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712" w:rsidP="00037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3712" w:rsidP="00037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3712" w:rsidP="00037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4BC" w:rsidRPr="00EE3712" w:rsidP="00EE3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712" w:rsidRPr="002D2AF8" w:rsidP="00037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CHCPOL003 Research and apply evidence to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E3712" w:rsidP="00037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86E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6E6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CC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4BC"/>
  </w:style>
  <w:style w:type="character" w:customStyle="1" w:styleId="Heading1Char">
    <w:name w:val="Heading 1 Char"/>
    <w:basedOn w:val="DefaultParagraphFont"/>
    <w:link w:val="Heading1"/>
    <w:rsid w:val="00037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4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4BC"/>
    <w:rPr>
      <w:b/>
      <w:spacing w:val="0"/>
    </w:rPr>
  </w:style>
  <w:style w:type="paragraph" w:styleId="ListBullet2">
    <w:name w:val="List Bullet 2"/>
    <w:basedOn w:val="List2"/>
    <w:rsid w:val="000374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74BC"/>
    <w:rPr>
      <w:i/>
    </w:rPr>
  </w:style>
  <w:style w:type="paragraph" w:customStyle="1" w:styleId="SuperHeading">
    <w:name w:val="SuperHeading"/>
    <w:basedOn w:val="Normal"/>
    <w:rsid w:val="00037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4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4BC"/>
  </w:style>
  <w:style w:type="paragraph" w:styleId="TableofFigures">
    <w:name w:val="table of figures"/>
    <w:basedOn w:val="Normal"/>
    <w:next w:val="Normal"/>
    <w:semiHidden/>
    <w:rsid w:val="00037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4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4BC"/>
    <w:rPr>
      <w:rFonts w:ascii="Wingdings" w:hAnsi="Wingdings"/>
    </w:rPr>
  </w:style>
  <w:style w:type="paragraph" w:customStyle="1" w:styleId="TableHeading">
    <w:name w:val="Table Heading"/>
    <w:basedOn w:val="HeadingBase"/>
    <w:rsid w:val="00037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4BC"/>
    <w:rPr>
      <w:color w:val="0033CC"/>
      <w:u w:val="none"/>
    </w:rPr>
  </w:style>
  <w:style w:type="paragraph" w:customStyle="1" w:styleId="BodyTextRight">
    <w:name w:val="Body Text Right"/>
    <w:basedOn w:val="BodyText"/>
    <w:rsid w:val="00037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4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4BC"/>
    <w:rPr>
      <w:sz w:val="32"/>
    </w:rPr>
  </w:style>
  <w:style w:type="paragraph" w:customStyle="1" w:styleId="HeadingProcedure">
    <w:name w:val="Heading Procedure"/>
    <w:basedOn w:val="HeadingBase"/>
    <w:next w:val="Normal"/>
    <w:rsid w:val="00037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4BC"/>
    <w:pPr>
      <w:spacing w:before="60" w:after="60"/>
    </w:pPr>
  </w:style>
  <w:style w:type="paragraph" w:styleId="ListContinue">
    <w:name w:val="List Continue"/>
    <w:basedOn w:val="List"/>
    <w:rsid w:val="000374BC"/>
    <w:pPr>
      <w:ind w:firstLine="0"/>
    </w:pPr>
  </w:style>
  <w:style w:type="paragraph" w:customStyle="1" w:styleId="ListNote">
    <w:name w:val="List Note"/>
    <w:basedOn w:val="List"/>
    <w:rsid w:val="00037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4BC"/>
    <w:rPr>
      <w:rFonts w:ascii="Courier New" w:hAnsi="Courier New"/>
    </w:rPr>
  </w:style>
  <w:style w:type="paragraph" w:customStyle="1" w:styleId="NoteBullet">
    <w:name w:val="Note Bullet"/>
    <w:basedOn w:val="Note"/>
    <w:rsid w:val="00037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4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4BC"/>
    <w:rPr>
      <w:b/>
      <w:smallCaps/>
    </w:rPr>
  </w:style>
  <w:style w:type="paragraph" w:customStyle="1" w:styleId="TableListNumber">
    <w:name w:val="Table List Number"/>
    <w:basedOn w:val="ListNumber"/>
    <w:rsid w:val="00037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4BC"/>
    <w:pPr>
      <w:numPr>
        <w:numId w:val="9"/>
      </w:numPr>
    </w:pPr>
  </w:style>
  <w:style w:type="paragraph" w:customStyle="1" w:styleId="ListAlpha2">
    <w:name w:val="List Alpha 2"/>
    <w:basedOn w:val="List2"/>
    <w:rsid w:val="000374BC"/>
    <w:pPr>
      <w:numPr>
        <w:numId w:val="8"/>
      </w:numPr>
    </w:pPr>
  </w:style>
  <w:style w:type="paragraph" w:styleId="List2">
    <w:name w:val="List 2"/>
    <w:basedOn w:val="BodyText"/>
    <w:rsid w:val="00037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4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4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4BC"/>
    <w:pPr>
      <w:numPr>
        <w:numId w:val="4"/>
      </w:numPr>
    </w:pPr>
  </w:style>
  <w:style w:type="paragraph" w:styleId="ListContinue2">
    <w:name w:val="List Continue 2"/>
    <w:basedOn w:val="List2"/>
    <w:rsid w:val="000374BC"/>
    <w:pPr>
      <w:ind w:firstLine="0"/>
    </w:pPr>
  </w:style>
  <w:style w:type="paragraph" w:styleId="ListContinue3">
    <w:name w:val="List Continue 3"/>
    <w:basedOn w:val="List3"/>
    <w:rsid w:val="000374BC"/>
    <w:pPr>
      <w:ind w:left="1021" w:firstLine="0"/>
    </w:pPr>
  </w:style>
  <w:style w:type="paragraph" w:styleId="ListContinue4">
    <w:name w:val="List Continue 4"/>
    <w:basedOn w:val="List4"/>
    <w:rsid w:val="000374BC"/>
    <w:pPr>
      <w:ind w:firstLine="0"/>
    </w:pPr>
  </w:style>
  <w:style w:type="paragraph" w:styleId="ListContinue5">
    <w:name w:val="List Continue 5"/>
    <w:basedOn w:val="List5"/>
    <w:rsid w:val="000374BC"/>
    <w:pPr>
      <w:ind w:firstLine="0"/>
    </w:pPr>
  </w:style>
  <w:style w:type="paragraph" w:styleId="ListNumber3">
    <w:name w:val="List Number 3"/>
    <w:basedOn w:val="List3"/>
    <w:rsid w:val="000374BC"/>
    <w:pPr>
      <w:numPr>
        <w:numId w:val="5"/>
      </w:numPr>
    </w:pPr>
  </w:style>
  <w:style w:type="paragraph" w:styleId="ListNumber4">
    <w:name w:val="List Number 4"/>
    <w:basedOn w:val="List4"/>
    <w:rsid w:val="000374BC"/>
    <w:pPr>
      <w:numPr>
        <w:numId w:val="6"/>
      </w:numPr>
    </w:pPr>
  </w:style>
  <w:style w:type="paragraph" w:styleId="ListNumber5">
    <w:name w:val="List Number 5"/>
    <w:basedOn w:val="List5"/>
    <w:rsid w:val="000374BC"/>
    <w:pPr>
      <w:numPr>
        <w:numId w:val="7"/>
      </w:numPr>
    </w:pPr>
  </w:style>
  <w:style w:type="paragraph" w:styleId="BlockText">
    <w:name w:val="Block Text"/>
    <w:basedOn w:val="Normal"/>
    <w:rsid w:val="00037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4BC"/>
    <w:rPr>
      <w:sz w:val="16"/>
      <w:vertAlign w:val="superscript"/>
    </w:rPr>
  </w:style>
  <w:style w:type="character" w:customStyle="1" w:styleId="Symbols">
    <w:name w:val="Symbols"/>
    <w:basedOn w:val="DefaultParagraphFont"/>
    <w:rsid w:val="000374BC"/>
    <w:rPr>
      <w:rFonts w:ascii="Symbol" w:hAnsi="Symbol"/>
    </w:rPr>
  </w:style>
  <w:style w:type="character" w:customStyle="1" w:styleId="MenuOptions">
    <w:name w:val="Menu Options"/>
    <w:basedOn w:val="DefaultParagraphFont"/>
    <w:rsid w:val="00037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4BC"/>
    <w:rPr>
      <w:b/>
    </w:rPr>
  </w:style>
  <w:style w:type="character" w:customStyle="1" w:styleId="Underlined">
    <w:name w:val="Underlined"/>
    <w:basedOn w:val="DefaultParagraphFont"/>
    <w:rsid w:val="000374BC"/>
    <w:rPr>
      <w:u w:val="single"/>
    </w:rPr>
  </w:style>
  <w:style w:type="paragraph" w:customStyle="1" w:styleId="TableBodyTextRight">
    <w:name w:val="Table Body Text Right"/>
    <w:basedOn w:val="TableBodyText"/>
    <w:rsid w:val="00037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4BC"/>
    <w:rPr>
      <w:sz w:val="18"/>
    </w:rPr>
  </w:style>
  <w:style w:type="paragraph" w:customStyle="1" w:styleId="BodySmallRight">
    <w:name w:val="Body Small Right"/>
    <w:basedOn w:val="BodyTextRight"/>
    <w:rsid w:val="000374BC"/>
    <w:rPr>
      <w:sz w:val="18"/>
      <w:szCs w:val="18"/>
    </w:rPr>
  </w:style>
  <w:style w:type="paragraph" w:customStyle="1" w:styleId="MarginEdition">
    <w:name w:val="Margin Edition"/>
    <w:basedOn w:val="MarginNote"/>
    <w:rsid w:val="00037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4BC"/>
    <w:rPr>
      <w:sz w:val="2"/>
      <w:szCs w:val="2"/>
    </w:rPr>
  </w:style>
  <w:style w:type="character" w:customStyle="1" w:styleId="Small">
    <w:name w:val="Small"/>
    <w:basedOn w:val="DefaultParagraphFont"/>
    <w:rsid w:val="000374BC"/>
    <w:rPr>
      <w:sz w:val="16"/>
    </w:rPr>
  </w:style>
  <w:style w:type="paragraph" w:customStyle="1" w:styleId="WideTable">
    <w:name w:val="Wide Table"/>
    <w:basedOn w:val="Normal"/>
    <w:rsid w:val="00037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4BC"/>
  </w:style>
  <w:style w:type="paragraph" w:styleId="Quote">
    <w:name w:val="Quote"/>
    <w:basedOn w:val="Heading1"/>
    <w:link w:val="QuoteChar"/>
    <w:qFormat/>
    <w:rsid w:val="00037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4BC"/>
    <w:pPr>
      <w:pageBreakBefore/>
    </w:pPr>
  </w:style>
  <w:style w:type="paragraph" w:customStyle="1" w:styleId="Border">
    <w:name w:val="Border"/>
    <w:basedOn w:val="Normal"/>
    <w:qFormat/>
    <w:rsid w:val="00037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4BC"/>
    <w:rPr>
      <w:u w:val="single"/>
    </w:rPr>
  </w:style>
  <w:style w:type="character" w:customStyle="1" w:styleId="BoldandItalics">
    <w:name w:val="Bold and Italics"/>
    <w:qFormat/>
    <w:rsid w:val="000374BC"/>
    <w:rPr>
      <w:b/>
      <w:i/>
      <w:u w:val="none"/>
    </w:rPr>
  </w:style>
  <w:style w:type="paragraph" w:styleId="BalloonText">
    <w:name w:val="Balloon Text"/>
    <w:basedOn w:val="Normal"/>
    <w:link w:val="BalloonTextChar"/>
    <w:rsid w:val="00037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4BC"/>
    <w:pPr>
      <w:spacing w:before="0" w:after="0"/>
    </w:pPr>
  </w:style>
  <w:style w:type="paragraph" w:customStyle="1" w:styleId="BodyTextBold">
    <w:name w:val="Body Text Bold"/>
    <w:basedOn w:val="BodyText"/>
    <w:qFormat/>
    <w:rsid w:val="000374BC"/>
    <w:rPr>
      <w:b/>
    </w:rPr>
  </w:style>
  <w:style w:type="character" w:styleId="Hyperlink">
    <w:name w:val="Hyperlink"/>
    <w:basedOn w:val="DefaultParagraphFont"/>
    <w:uiPriority w:val="99"/>
    <w:unhideWhenUsed/>
    <w:rsid w:val="00EE3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2634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CHCPOL003 Research and apply evidence to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