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07C" w:rsidP="00345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CHCMHS012 Provide support to develop wellness plans and advanced directives</w:t>
      </w:r>
      <w:r>
        <w:fldChar w:fldCharType="end"/>
      </w:r>
    </w:p>
    <w:p w:rsidR="0034507C" w:rsidP="0034507C">
      <w:pPr>
        <w:pStyle w:val="Version"/>
        <w:sectPr w:rsidSect="00C24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6A2" w:rsidP="00C246A2">
      <w:pPr>
        <w:pStyle w:val="SuperHeading"/>
      </w:pPr>
      <w:r w:rsidRPr="00C246A2">
        <w:t>Assessment Requirements for CHCMHS012 Provide support to develop wellness plans and advanced directives</w:t>
      </w:r>
    </w:p>
    <w:p w:rsidR="00000000" w:rsidRPr="00C246A2" w:rsidP="00C246A2">
      <w:pPr>
        <w:pStyle w:val="Heading1"/>
      </w:pPr>
      <w:bookmarkStart w:id="1" w:name="O_654345"/>
      <w:bookmarkEnd w:id="1"/>
      <w:r w:rsidRPr="00C246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2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6A2" w:rsidP="00C246A2">
            <w:pPr>
              <w:pStyle w:val="BodyText"/>
            </w:pPr>
            <w:r w:rsidRPr="00C246A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6A2">
            <w:pPr>
              <w:pStyle w:val="BodyText"/>
              <w:rPr>
                <w:lang w:val="en-NZ"/>
              </w:rPr>
            </w:pPr>
            <w:r w:rsidRPr="00C246A2">
              <w:rPr>
                <w:rStyle w:val="SpecialBold"/>
              </w:rPr>
              <w:t>Comments</w:t>
            </w:r>
          </w:p>
        </w:tc>
      </w:tr>
      <w:tr w:rsidTr="00C2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6A2">
            <w:pPr>
              <w:pStyle w:val="BodyText"/>
              <w:rPr>
                <w:lang w:val="en-NZ"/>
              </w:rPr>
            </w:pPr>
            <w:r w:rsidRPr="00C246A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6A2" w:rsidP="00C246A2">
            <w:pPr>
              <w:pStyle w:val="BodyText"/>
            </w:pPr>
            <w:r w:rsidRPr="00C246A2">
              <w:t xml:space="preserve">This version was released in </w:t>
            </w:r>
            <w:r w:rsidRPr="00C246A2">
              <w:rPr>
                <w:rStyle w:val="Emphasis"/>
              </w:rPr>
              <w:t xml:space="preserve">CHC Community Services Training Package release 2.0 </w:t>
            </w:r>
            <w:r w:rsidRPr="00C246A2">
              <w:t>and meets the requirements of the 2012 Standards for Training Packages.</w:t>
            </w:r>
          </w:p>
          <w:p w:rsidR="00000000" w:rsidRPr="00C246A2" w:rsidP="00C246A2">
            <w:pPr>
              <w:pStyle w:val="BodyText"/>
            </w:pPr>
            <w:r w:rsidRPr="00C246A2">
              <w:t xml:space="preserve">New unit. </w:t>
            </w:r>
          </w:p>
        </w:tc>
      </w:tr>
    </w:tbl>
    <w:p w:rsidR="0034507C" w:rsidP="00C246A2">
      <w:pPr>
        <w:pStyle w:val="BodyText"/>
      </w:pPr>
    </w:p>
    <w:p w:rsidR="0034507C" w:rsidP="00C246A2">
      <w:pPr>
        <w:pStyle w:val="BodyText"/>
      </w:pPr>
    </w:p>
    <w:p w:rsidR="00000000" w:rsidRPr="00C246A2" w:rsidP="00C246A2">
      <w:pPr>
        <w:pStyle w:val="Heading1"/>
      </w:pPr>
      <w:bookmarkStart w:id="2" w:name="O_654346"/>
      <w:bookmarkEnd w:id="2"/>
      <w:r w:rsidRPr="00C246A2">
        <w:t>Performance Evidence</w:t>
      </w:r>
    </w:p>
    <w:p w:rsidR="00000000" w:rsidRPr="00C246A2" w:rsidP="0034507C">
      <w:pPr>
        <w:pStyle w:val="BodyText"/>
      </w:pPr>
      <w:r w:rsidRPr="00C246A2">
        <w:t>The candidate must show evidence of the ability to complete tasks outlined in elements and performance criteria of this unit, manage</w:t>
      </w:r>
      <w:r w:rsidRPr="00C246A2">
        <w:t xml:space="preserve"> tasks and manage contingencies in the context of the job role. There must be evidence that the candidate has:</w:t>
      </w:r>
    </w:p>
    <w:p w:rsidR="00000000" w:rsidRPr="00C246A2" w:rsidP="00C246A2">
      <w:pPr>
        <w:pStyle w:val="ListBullet"/>
      </w:pPr>
      <w:r w:rsidRPr="00C246A2">
        <w:t>worked collaboratively with 3 different people with mental illness to create and implement a wellness plan</w:t>
      </w:r>
    </w:p>
    <w:p w:rsidR="00000000" w:rsidRPr="00C246A2" w:rsidP="00C246A2">
      <w:pPr>
        <w:pStyle w:val="ListBullet"/>
      </w:pPr>
      <w:r w:rsidRPr="00C246A2">
        <w:t>developed at least 1 advanced directi</w:t>
      </w:r>
      <w:r w:rsidRPr="00C246A2">
        <w:t>ve</w:t>
      </w:r>
    </w:p>
    <w:p w:rsidR="00000000" w:rsidRPr="00C246A2" w:rsidP="00C246A2">
      <w:pPr>
        <w:pStyle w:val="AllowPageBreak"/>
      </w:pPr>
    </w:p>
    <w:p w:rsidR="00000000" w:rsidRPr="00C246A2" w:rsidP="00C246A2">
      <w:pPr>
        <w:pStyle w:val="Heading1"/>
      </w:pPr>
      <w:bookmarkStart w:id="3" w:name="O_654347"/>
      <w:bookmarkEnd w:id="3"/>
      <w:r w:rsidRPr="00C246A2">
        <w:t>Knowledge Evidence</w:t>
      </w:r>
    </w:p>
    <w:p w:rsidR="00000000" w:rsidRPr="00C246A2" w:rsidP="0034507C">
      <w:pPr>
        <w:pStyle w:val="BodyText"/>
      </w:pPr>
      <w:r w:rsidRPr="00C246A2">
        <w:t xml:space="preserve">The candidate must be able to demonstrate essential knowledge required to effectively do the task outlined in elements and performance criteria of this </w:t>
      </w:r>
      <w:r w:rsidRPr="00C246A2">
        <w:t>unit, manage the task and manage contingencies in the context of the work role. This includes knowledge of:</w:t>
      </w:r>
    </w:p>
    <w:p w:rsidR="00000000" w:rsidRPr="00C246A2" w:rsidP="00C246A2">
      <w:pPr>
        <w:pStyle w:val="ListBullet"/>
      </w:pPr>
      <w:r w:rsidRPr="00C246A2">
        <w:t>legal and ethical considerations (international, national, state/territory, local) for wellness plans and advanced directives, and how these are ap</w:t>
      </w:r>
      <w:r w:rsidRPr="00C246A2">
        <w:t>plied in organisations and individual practice:</w:t>
      </w:r>
    </w:p>
    <w:p w:rsidR="00000000" w:rsidRPr="00C246A2" w:rsidP="00C246A2">
      <w:pPr>
        <w:pStyle w:val="ListBullet2"/>
      </w:pPr>
      <w:r w:rsidRPr="00C246A2">
        <w:t>codes of practice</w:t>
      </w:r>
    </w:p>
    <w:p w:rsidR="00000000" w:rsidRPr="00C246A2" w:rsidP="00C246A2">
      <w:pPr>
        <w:pStyle w:val="ListBullet2"/>
      </w:pPr>
      <w:r w:rsidRPr="00C246A2">
        <w:t>discrimination</w:t>
      </w:r>
    </w:p>
    <w:p w:rsidR="00000000" w:rsidRPr="00C246A2" w:rsidP="00C246A2">
      <w:pPr>
        <w:pStyle w:val="ListBullet2"/>
      </w:pPr>
      <w:r w:rsidRPr="00C246A2">
        <w:t xml:space="preserve">dignity of risk </w:t>
      </w:r>
    </w:p>
    <w:p w:rsidR="00000000" w:rsidRPr="00C246A2" w:rsidP="00C246A2">
      <w:pPr>
        <w:pStyle w:val="ListBullet2"/>
      </w:pPr>
      <w:r w:rsidRPr="00C246A2">
        <w:t xml:space="preserve">duty of care </w:t>
      </w:r>
    </w:p>
    <w:p w:rsidR="00000000" w:rsidRPr="00C246A2" w:rsidP="00C246A2">
      <w:pPr>
        <w:pStyle w:val="ListBullet2"/>
      </w:pPr>
      <w:r w:rsidRPr="00C246A2">
        <w:t xml:space="preserve">human rights </w:t>
      </w:r>
    </w:p>
    <w:p w:rsidR="00000000" w:rsidRPr="00C246A2" w:rsidP="00C246A2">
      <w:pPr>
        <w:pStyle w:val="ListBullet2"/>
      </w:pPr>
      <w:r w:rsidRPr="00C246A2">
        <w:t xml:space="preserve">informed consent </w:t>
      </w:r>
    </w:p>
    <w:p w:rsidR="00000000" w:rsidRPr="00C246A2" w:rsidP="00C246A2">
      <w:pPr>
        <w:pStyle w:val="ListBullet2"/>
      </w:pPr>
      <w:r w:rsidRPr="00C246A2">
        <w:t xml:space="preserve">mandatory reporting </w:t>
      </w:r>
    </w:p>
    <w:p w:rsidR="00000000" w:rsidRPr="00C246A2" w:rsidP="00C246A2">
      <w:pPr>
        <w:pStyle w:val="ListBullet2"/>
      </w:pPr>
      <w:r w:rsidRPr="00C246A2">
        <w:t xml:space="preserve">practice standards </w:t>
      </w:r>
    </w:p>
    <w:p w:rsidR="00000000" w:rsidRPr="00C246A2" w:rsidP="00C246A2">
      <w:pPr>
        <w:pStyle w:val="ListBullet2"/>
      </w:pPr>
      <w:r w:rsidRPr="00C246A2">
        <w:t>privacy, confidentiality and disclosure</w:t>
      </w:r>
    </w:p>
    <w:p w:rsidR="00000000" w:rsidRPr="00C246A2" w:rsidP="00C246A2">
      <w:pPr>
        <w:pStyle w:val="ListBullet2"/>
      </w:pPr>
      <w:r w:rsidRPr="00C246A2">
        <w:t xml:space="preserve">policy frameworks </w:t>
      </w:r>
    </w:p>
    <w:p w:rsidR="00000000" w:rsidRPr="00C246A2" w:rsidP="00C246A2">
      <w:pPr>
        <w:pStyle w:val="ListBullet2"/>
      </w:pPr>
      <w:r w:rsidRPr="00C246A2">
        <w:t xml:space="preserve">records management </w:t>
      </w:r>
    </w:p>
    <w:p w:rsidR="00000000" w:rsidRPr="00C246A2" w:rsidP="00C246A2">
      <w:pPr>
        <w:pStyle w:val="ListBullet2"/>
      </w:pPr>
      <w:r w:rsidRPr="00C246A2">
        <w:t>rights and responsibilities of workers, employers and individuals accessing the service</w:t>
      </w:r>
    </w:p>
    <w:p w:rsidR="00000000" w:rsidRPr="00C246A2" w:rsidP="00C246A2">
      <w:pPr>
        <w:pStyle w:val="ListBullet2"/>
      </w:pPr>
      <w:r w:rsidRPr="00C246A2">
        <w:t>specific legislative requirements for advanced directives</w:t>
      </w:r>
    </w:p>
    <w:p w:rsidR="00000000" w:rsidRPr="00C246A2" w:rsidP="00C246A2">
      <w:pPr>
        <w:pStyle w:val="ListBullet2"/>
      </w:pPr>
      <w:r w:rsidRPr="00C246A2">
        <w:t>work role boundaries – responsibilities and limitations</w:t>
      </w:r>
    </w:p>
    <w:p w:rsidR="00000000" w:rsidRPr="00C246A2" w:rsidP="00C246A2">
      <w:pPr>
        <w:pStyle w:val="ListBullet2"/>
      </w:pPr>
      <w:r w:rsidRPr="00C246A2">
        <w:t>work health and safety</w:t>
      </w:r>
    </w:p>
    <w:p w:rsidR="00000000" w:rsidRPr="00C246A2" w:rsidP="00C246A2">
      <w:pPr>
        <w:pStyle w:val="ListBullet"/>
      </w:pPr>
      <w:r w:rsidRPr="00C246A2">
        <w:t>values and</w:t>
      </w:r>
      <w:r w:rsidRPr="00C246A2">
        <w:t xml:space="preserve"> principles of the mental health sector, including:</w:t>
      </w:r>
    </w:p>
    <w:p w:rsidR="00000000" w:rsidRPr="00C246A2" w:rsidP="00C246A2">
      <w:pPr>
        <w:pStyle w:val="ListBullet2"/>
      </w:pPr>
      <w:r w:rsidRPr="00C246A2">
        <w:t>recovery</w:t>
      </w:r>
    </w:p>
    <w:p w:rsidR="00000000" w:rsidRPr="00C246A2" w:rsidP="00C246A2">
      <w:pPr>
        <w:pStyle w:val="ListBullet2"/>
      </w:pPr>
      <w:r w:rsidRPr="00C246A2">
        <w:t>recovery oriented practice</w:t>
      </w:r>
    </w:p>
    <w:p w:rsidR="00000000" w:rsidRPr="00C246A2" w:rsidP="00C246A2">
      <w:pPr>
        <w:pStyle w:val="ListBullet2"/>
      </w:pPr>
      <w:r w:rsidRPr="00C246A2">
        <w:t>health promotion and prevention</w:t>
      </w:r>
    </w:p>
    <w:p w:rsidR="00000000" w:rsidRPr="00C246A2" w:rsidP="00C246A2">
      <w:pPr>
        <w:pStyle w:val="ListBullet2"/>
      </w:pPr>
      <w:r w:rsidRPr="00C246A2">
        <w:t>holistic approach</w:t>
      </w:r>
    </w:p>
    <w:p w:rsidR="00000000" w:rsidRPr="00C246A2" w:rsidP="00C246A2">
      <w:pPr>
        <w:pStyle w:val="ListBullet2"/>
      </w:pPr>
      <w:r w:rsidRPr="00C246A2">
        <w:t>empowerment/disempowerment</w:t>
      </w:r>
    </w:p>
    <w:p w:rsidR="00000000" w:rsidRPr="00C246A2" w:rsidP="00C246A2">
      <w:pPr>
        <w:pStyle w:val="ListBullet2"/>
      </w:pPr>
      <w:r w:rsidRPr="00C246A2">
        <w:t>access and equity</w:t>
      </w:r>
    </w:p>
    <w:p w:rsidR="00000000" w:rsidRPr="00C246A2" w:rsidP="00C246A2">
      <w:pPr>
        <w:pStyle w:val="ListBullet2"/>
      </w:pPr>
      <w:r w:rsidRPr="00C246A2">
        <w:t>early intervention</w:t>
      </w:r>
    </w:p>
    <w:p w:rsidR="00000000" w:rsidRPr="00C246A2" w:rsidP="00C246A2">
      <w:pPr>
        <w:pStyle w:val="ListBullet2"/>
      </w:pPr>
      <w:r w:rsidRPr="00C246A2">
        <w:t>rights</w:t>
      </w:r>
    </w:p>
    <w:p w:rsidR="00000000" w:rsidRPr="00C246A2" w:rsidP="00C246A2">
      <w:pPr>
        <w:pStyle w:val="ListBullet2"/>
      </w:pPr>
      <w:r w:rsidRPr="00C246A2">
        <w:t>social justice and inclusion</w:t>
      </w:r>
    </w:p>
    <w:p w:rsidR="00000000" w:rsidRPr="00C246A2" w:rsidP="00C246A2">
      <w:pPr>
        <w:pStyle w:val="ListBullet2"/>
      </w:pPr>
      <w:r w:rsidRPr="00C246A2">
        <w:t>citizenship</w:t>
      </w:r>
    </w:p>
    <w:p w:rsidR="00000000" w:rsidRPr="00C246A2" w:rsidP="00C246A2">
      <w:pPr>
        <w:pStyle w:val="ListBullet"/>
      </w:pPr>
      <w:r w:rsidRPr="00C246A2">
        <w:t>purpose and limitations of wellness plans and advanced directives</w:t>
      </w:r>
    </w:p>
    <w:p w:rsidR="00000000" w:rsidRPr="00C246A2" w:rsidP="00C246A2">
      <w:pPr>
        <w:pStyle w:val="ListBullet"/>
      </w:pPr>
      <w:r w:rsidRPr="00C246A2">
        <w:t>different types and formats of wellness plans particularly those which have been designed and developed by people who have experienced mental illness</w:t>
      </w:r>
    </w:p>
    <w:p w:rsidR="00000000" w:rsidRPr="00C246A2" w:rsidP="00C246A2">
      <w:pPr>
        <w:pStyle w:val="ListBullet"/>
      </w:pPr>
      <w:r w:rsidRPr="00C246A2">
        <w:t>various formats for advanced directives</w:t>
      </w:r>
    </w:p>
    <w:p w:rsidR="00000000" w:rsidRPr="00C246A2" w:rsidP="00C246A2">
      <w:pPr>
        <w:pStyle w:val="ListBullet"/>
      </w:pPr>
      <w:r w:rsidRPr="00C246A2">
        <w:t>purpose of statements of capacity</w:t>
      </w:r>
    </w:p>
    <w:p w:rsidR="00000000" w:rsidRPr="00C246A2" w:rsidP="00C246A2">
      <w:pPr>
        <w:pStyle w:val="ListBullet"/>
      </w:pPr>
      <w:r w:rsidRPr="00C246A2">
        <w:t xml:space="preserve">role and requirements for witnesses </w:t>
      </w:r>
    </w:p>
    <w:p w:rsidR="00000000" w:rsidRPr="00C246A2" w:rsidP="00C246A2">
      <w:pPr>
        <w:pStyle w:val="ListBullet"/>
      </w:pPr>
      <w:r w:rsidRPr="00C246A2">
        <w:t xml:space="preserve">community, support and mental health services </w:t>
      </w:r>
    </w:p>
    <w:p w:rsidR="00000000" w:rsidRPr="00C246A2" w:rsidP="00C246A2">
      <w:pPr>
        <w:pStyle w:val="ListBullet"/>
      </w:pPr>
      <w:r w:rsidRPr="00C246A2">
        <w:t>services for people experiencing mental distress, unwellness and crisis</w:t>
      </w:r>
    </w:p>
    <w:p w:rsidR="00000000" w:rsidRPr="00C246A2" w:rsidP="00C246A2">
      <w:pPr>
        <w:pStyle w:val="AllowPageBreak"/>
      </w:pPr>
    </w:p>
    <w:p w:rsidR="00000000" w:rsidRPr="00C246A2" w:rsidP="00C246A2">
      <w:pPr>
        <w:pStyle w:val="Heading1"/>
      </w:pPr>
      <w:bookmarkStart w:id="4" w:name="O_654348"/>
      <w:bookmarkEnd w:id="4"/>
      <w:r w:rsidRPr="00C246A2">
        <w:t>Assessment Conditions</w:t>
      </w:r>
    </w:p>
    <w:p w:rsidR="00000000" w:rsidRPr="00C246A2" w:rsidP="0034507C">
      <w:pPr>
        <w:pStyle w:val="BodyText"/>
      </w:pPr>
      <w:r w:rsidRPr="00C246A2">
        <w:t>Skills must have been demon</w:t>
      </w:r>
      <w:r w:rsidRPr="00C246A2">
        <w:t>strated in the workplace or in a simulated environment that reflects workplace conditions. Where simulation is used, it must reflect real working conditions by modelling industry operating conditions and contingencies, as well as, using suitable facilities</w:t>
      </w:r>
      <w:r w:rsidRPr="00C246A2">
        <w:t>, equipment and resources.</w:t>
      </w:r>
    </w:p>
    <w:p w:rsidR="00000000" w:rsidRPr="00C246A2" w:rsidP="0034507C">
      <w:pPr>
        <w:pStyle w:val="BodyText"/>
      </w:pPr>
      <w:r w:rsidRPr="00C246A2">
        <w:t>Assessors must satisfy the Standards for Registered Training Organisations (RTOs) 2015/AQTF mandatory competency requirements for assessors.</w:t>
      </w:r>
    </w:p>
    <w:p w:rsidR="00000000" w:rsidRPr="00C246A2" w:rsidP="00C246A2">
      <w:pPr>
        <w:pStyle w:val="Heading1"/>
      </w:pPr>
      <w:bookmarkStart w:id="5" w:name="O_654351"/>
      <w:bookmarkEnd w:id="5"/>
      <w:r w:rsidRPr="00C246A2">
        <w:t>Links</w:t>
      </w:r>
    </w:p>
    <w:p w:rsidR="00000000" w:rsidRPr="00C246A2" w:rsidP="0034507C">
      <w:pPr>
        <w:pStyle w:val="BodyText"/>
      </w:pPr>
      <w:r w:rsidRPr="00C24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6B6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246A2" w:rsidP="00C246A2"/>
    <w:sectPr w:rsidSect="00C24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2" w:rsidRPr="0034507C" w:rsidP="00345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C" w:rsidP="00C24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507C" w:rsidP="00C24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507C" w:rsidP="00C24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6A2" w:rsidRPr="0034507C" w:rsidP="00345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C" w:rsidRPr="002D2AF8" w:rsidP="00C24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CHCMHS012 Provide support to develop wellness plans and advanced directives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4507C" w:rsidP="00C24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CC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43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F8C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6A2"/>
  </w:style>
  <w:style w:type="character" w:customStyle="1" w:styleId="Heading1Char">
    <w:name w:val="Heading 1 Char"/>
    <w:basedOn w:val="DefaultParagraphFont"/>
    <w:link w:val="Heading1"/>
    <w:rsid w:val="00C24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6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6A2"/>
    <w:rPr>
      <w:b/>
      <w:spacing w:val="0"/>
    </w:rPr>
  </w:style>
  <w:style w:type="paragraph" w:styleId="ListBullet2">
    <w:name w:val="List Bullet 2"/>
    <w:basedOn w:val="List2"/>
    <w:rsid w:val="00C246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6A2"/>
    <w:rPr>
      <w:i/>
    </w:rPr>
  </w:style>
  <w:style w:type="paragraph" w:customStyle="1" w:styleId="SuperHeading">
    <w:name w:val="SuperHeading"/>
    <w:basedOn w:val="Normal"/>
    <w:rsid w:val="00C24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6A2"/>
  </w:style>
  <w:style w:type="paragraph" w:styleId="TableofFigures">
    <w:name w:val="table of figures"/>
    <w:basedOn w:val="Normal"/>
    <w:next w:val="Normal"/>
    <w:semiHidden/>
    <w:rsid w:val="00C24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6A2"/>
    <w:rPr>
      <w:rFonts w:ascii="Wingdings" w:hAnsi="Wingdings"/>
    </w:rPr>
  </w:style>
  <w:style w:type="paragraph" w:customStyle="1" w:styleId="TableHeading">
    <w:name w:val="Table Heading"/>
    <w:basedOn w:val="HeadingBase"/>
    <w:rsid w:val="00C24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6A2"/>
    <w:rPr>
      <w:color w:val="0033CC"/>
      <w:u w:val="none"/>
    </w:rPr>
  </w:style>
  <w:style w:type="paragraph" w:customStyle="1" w:styleId="BodyTextRight">
    <w:name w:val="Body Text Right"/>
    <w:basedOn w:val="BodyText"/>
    <w:rsid w:val="00C24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6A2"/>
    <w:rPr>
      <w:sz w:val="32"/>
    </w:rPr>
  </w:style>
  <w:style w:type="paragraph" w:customStyle="1" w:styleId="HeadingProcedure">
    <w:name w:val="Heading Procedure"/>
    <w:basedOn w:val="HeadingBase"/>
    <w:next w:val="Normal"/>
    <w:rsid w:val="00C24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6A2"/>
    <w:pPr>
      <w:spacing w:before="60" w:after="60"/>
    </w:pPr>
  </w:style>
  <w:style w:type="paragraph" w:styleId="ListContinue">
    <w:name w:val="List Continue"/>
    <w:basedOn w:val="List"/>
    <w:rsid w:val="00C246A2"/>
    <w:pPr>
      <w:ind w:firstLine="0"/>
    </w:pPr>
  </w:style>
  <w:style w:type="paragraph" w:customStyle="1" w:styleId="ListNote">
    <w:name w:val="List Note"/>
    <w:basedOn w:val="List"/>
    <w:rsid w:val="00C24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6A2"/>
    <w:rPr>
      <w:rFonts w:ascii="Courier New" w:hAnsi="Courier New"/>
    </w:rPr>
  </w:style>
  <w:style w:type="paragraph" w:customStyle="1" w:styleId="NoteBullet">
    <w:name w:val="Note Bullet"/>
    <w:basedOn w:val="Note"/>
    <w:rsid w:val="00C24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6A2"/>
    <w:rPr>
      <w:b/>
      <w:smallCaps/>
    </w:rPr>
  </w:style>
  <w:style w:type="paragraph" w:customStyle="1" w:styleId="TableListNumber">
    <w:name w:val="Table List Number"/>
    <w:basedOn w:val="ListNumber"/>
    <w:rsid w:val="00C24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6A2"/>
    <w:pPr>
      <w:numPr>
        <w:numId w:val="9"/>
      </w:numPr>
    </w:pPr>
  </w:style>
  <w:style w:type="paragraph" w:customStyle="1" w:styleId="ListAlpha2">
    <w:name w:val="List Alpha 2"/>
    <w:basedOn w:val="List2"/>
    <w:rsid w:val="00C246A2"/>
    <w:pPr>
      <w:numPr>
        <w:numId w:val="8"/>
      </w:numPr>
    </w:pPr>
  </w:style>
  <w:style w:type="paragraph" w:styleId="List2">
    <w:name w:val="List 2"/>
    <w:basedOn w:val="BodyText"/>
    <w:rsid w:val="00C24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6A2"/>
    <w:pPr>
      <w:numPr>
        <w:numId w:val="4"/>
      </w:numPr>
    </w:pPr>
  </w:style>
  <w:style w:type="paragraph" w:styleId="ListContinue2">
    <w:name w:val="List Continue 2"/>
    <w:basedOn w:val="List2"/>
    <w:rsid w:val="00C246A2"/>
    <w:pPr>
      <w:ind w:firstLine="0"/>
    </w:pPr>
  </w:style>
  <w:style w:type="paragraph" w:styleId="ListContinue3">
    <w:name w:val="List Continue 3"/>
    <w:basedOn w:val="List3"/>
    <w:rsid w:val="00C246A2"/>
    <w:pPr>
      <w:ind w:left="1021" w:firstLine="0"/>
    </w:pPr>
  </w:style>
  <w:style w:type="paragraph" w:styleId="ListContinue4">
    <w:name w:val="List Continue 4"/>
    <w:basedOn w:val="List4"/>
    <w:rsid w:val="00C246A2"/>
    <w:pPr>
      <w:ind w:firstLine="0"/>
    </w:pPr>
  </w:style>
  <w:style w:type="paragraph" w:styleId="ListContinue5">
    <w:name w:val="List Continue 5"/>
    <w:basedOn w:val="List5"/>
    <w:rsid w:val="00C246A2"/>
    <w:pPr>
      <w:ind w:firstLine="0"/>
    </w:pPr>
  </w:style>
  <w:style w:type="paragraph" w:styleId="ListNumber3">
    <w:name w:val="List Number 3"/>
    <w:basedOn w:val="List3"/>
    <w:rsid w:val="00C246A2"/>
    <w:pPr>
      <w:numPr>
        <w:numId w:val="5"/>
      </w:numPr>
    </w:pPr>
  </w:style>
  <w:style w:type="paragraph" w:styleId="ListNumber4">
    <w:name w:val="List Number 4"/>
    <w:basedOn w:val="List4"/>
    <w:rsid w:val="00C246A2"/>
    <w:pPr>
      <w:numPr>
        <w:numId w:val="6"/>
      </w:numPr>
    </w:pPr>
  </w:style>
  <w:style w:type="paragraph" w:styleId="ListNumber5">
    <w:name w:val="List Number 5"/>
    <w:basedOn w:val="List5"/>
    <w:rsid w:val="00C246A2"/>
    <w:pPr>
      <w:numPr>
        <w:numId w:val="7"/>
      </w:numPr>
    </w:pPr>
  </w:style>
  <w:style w:type="paragraph" w:styleId="BlockText">
    <w:name w:val="Block Text"/>
    <w:basedOn w:val="Normal"/>
    <w:rsid w:val="00C24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6A2"/>
    <w:rPr>
      <w:sz w:val="16"/>
      <w:vertAlign w:val="superscript"/>
    </w:rPr>
  </w:style>
  <w:style w:type="character" w:customStyle="1" w:styleId="Symbols">
    <w:name w:val="Symbols"/>
    <w:basedOn w:val="DefaultParagraphFont"/>
    <w:rsid w:val="00C246A2"/>
    <w:rPr>
      <w:rFonts w:ascii="Symbol" w:hAnsi="Symbol"/>
    </w:rPr>
  </w:style>
  <w:style w:type="character" w:customStyle="1" w:styleId="MenuOptions">
    <w:name w:val="Menu Options"/>
    <w:basedOn w:val="DefaultParagraphFont"/>
    <w:rsid w:val="00C24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6A2"/>
    <w:rPr>
      <w:b/>
    </w:rPr>
  </w:style>
  <w:style w:type="character" w:customStyle="1" w:styleId="Underlined">
    <w:name w:val="Underlined"/>
    <w:basedOn w:val="DefaultParagraphFont"/>
    <w:rsid w:val="00C246A2"/>
    <w:rPr>
      <w:u w:val="single"/>
    </w:rPr>
  </w:style>
  <w:style w:type="paragraph" w:customStyle="1" w:styleId="TableBodyTextRight">
    <w:name w:val="Table Body Text Right"/>
    <w:basedOn w:val="TableBodyText"/>
    <w:rsid w:val="00C24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6A2"/>
    <w:rPr>
      <w:sz w:val="18"/>
    </w:rPr>
  </w:style>
  <w:style w:type="paragraph" w:customStyle="1" w:styleId="BodySmallRight">
    <w:name w:val="Body Small Right"/>
    <w:basedOn w:val="BodyTextRight"/>
    <w:rsid w:val="00C246A2"/>
    <w:rPr>
      <w:sz w:val="18"/>
      <w:szCs w:val="18"/>
    </w:rPr>
  </w:style>
  <w:style w:type="paragraph" w:customStyle="1" w:styleId="MarginEdition">
    <w:name w:val="Margin Edition"/>
    <w:basedOn w:val="MarginNote"/>
    <w:rsid w:val="00C24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6A2"/>
    <w:rPr>
      <w:sz w:val="2"/>
      <w:szCs w:val="2"/>
    </w:rPr>
  </w:style>
  <w:style w:type="character" w:customStyle="1" w:styleId="Small">
    <w:name w:val="Small"/>
    <w:basedOn w:val="DefaultParagraphFont"/>
    <w:rsid w:val="00C246A2"/>
    <w:rPr>
      <w:sz w:val="16"/>
    </w:rPr>
  </w:style>
  <w:style w:type="paragraph" w:customStyle="1" w:styleId="WideTable">
    <w:name w:val="Wide Table"/>
    <w:basedOn w:val="Normal"/>
    <w:rsid w:val="00C24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6A2"/>
  </w:style>
  <w:style w:type="paragraph" w:styleId="Quote">
    <w:name w:val="Quote"/>
    <w:basedOn w:val="Heading1"/>
    <w:link w:val="QuoteChar"/>
    <w:qFormat/>
    <w:rsid w:val="00C24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6A2"/>
    <w:pPr>
      <w:pageBreakBefore/>
    </w:pPr>
  </w:style>
  <w:style w:type="paragraph" w:customStyle="1" w:styleId="Border">
    <w:name w:val="Border"/>
    <w:basedOn w:val="Normal"/>
    <w:qFormat/>
    <w:rsid w:val="00C24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6A2"/>
    <w:rPr>
      <w:u w:val="single"/>
    </w:rPr>
  </w:style>
  <w:style w:type="character" w:customStyle="1" w:styleId="BoldandItalics">
    <w:name w:val="Bold and Italics"/>
    <w:qFormat/>
    <w:rsid w:val="00C246A2"/>
    <w:rPr>
      <w:b/>
      <w:i/>
      <w:u w:val="none"/>
    </w:rPr>
  </w:style>
  <w:style w:type="paragraph" w:styleId="BalloonText">
    <w:name w:val="Balloon Text"/>
    <w:basedOn w:val="Normal"/>
    <w:link w:val="BalloonTextChar"/>
    <w:rsid w:val="00C24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6A2"/>
    <w:pPr>
      <w:spacing w:before="0" w:after="0"/>
    </w:pPr>
  </w:style>
  <w:style w:type="paragraph" w:customStyle="1" w:styleId="BodyTextBold">
    <w:name w:val="Body Text Bold"/>
    <w:basedOn w:val="BodyText"/>
    <w:qFormat/>
    <w:rsid w:val="00C246A2"/>
    <w:rPr>
      <w:b/>
    </w:rPr>
  </w:style>
  <w:style w:type="character" w:styleId="Hyperlink">
    <w:name w:val="Hyperlink"/>
    <w:basedOn w:val="DefaultParagraphFont"/>
    <w:uiPriority w:val="99"/>
    <w:unhideWhenUsed/>
    <w:rsid w:val="00345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2838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CHCMHS012 Provide support to develop wellness plans and advanced directives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